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98BA" w14:textId="77777777" w:rsidR="00DC1565" w:rsidRDefault="00DC1565" w:rsidP="004D4D47">
      <w:pPr>
        <w:pStyle w:val="BodyText"/>
        <w:spacing w:before="0"/>
        <w:ind w:left="0"/>
        <w:rPr>
          <w:sz w:val="26"/>
        </w:rPr>
      </w:pPr>
    </w:p>
    <w:p w14:paraId="7C3098BB" w14:textId="77777777" w:rsidR="00DC1565" w:rsidRDefault="007C6BF1" w:rsidP="004D4D47">
      <w:pPr>
        <w:spacing w:before="71"/>
        <w:ind w:right="40"/>
        <w:jc w:val="center"/>
        <w:rPr>
          <w:b/>
          <w:sz w:val="24"/>
        </w:rPr>
      </w:pPr>
      <w:r>
        <w:rPr>
          <w:b/>
          <w:sz w:val="24"/>
        </w:rPr>
        <w:t>CVS HEALTH CORPORATION</w:t>
      </w:r>
    </w:p>
    <w:p w14:paraId="3C540FD2" w14:textId="77777777" w:rsidR="004D4D47" w:rsidRDefault="007C6BF1" w:rsidP="004D4D47">
      <w:pPr>
        <w:pStyle w:val="BodyText"/>
        <w:spacing w:before="21"/>
        <w:ind w:left="0" w:right="40"/>
        <w:jc w:val="center"/>
      </w:pPr>
      <w:r>
        <w:t xml:space="preserve">A Delaware corporation </w:t>
      </w:r>
    </w:p>
    <w:p w14:paraId="7C3098BC" w14:textId="32031BF3" w:rsidR="00DC1565" w:rsidRDefault="007C6BF1" w:rsidP="004D4D47">
      <w:pPr>
        <w:pStyle w:val="BodyText"/>
        <w:spacing w:before="21"/>
        <w:ind w:left="0" w:right="40"/>
        <w:jc w:val="center"/>
      </w:pPr>
      <w:r>
        <w:t>(the “</w:t>
      </w:r>
      <w:r>
        <w:rPr>
          <w:b/>
        </w:rPr>
        <w:t>Company</w:t>
      </w:r>
      <w:r>
        <w:t>”)</w:t>
      </w:r>
    </w:p>
    <w:p w14:paraId="7C3098BD" w14:textId="77777777" w:rsidR="00DC1565" w:rsidRDefault="007C6BF1" w:rsidP="004D4D47">
      <w:pPr>
        <w:pStyle w:val="Heading1"/>
        <w:spacing w:before="120"/>
        <w:ind w:left="0" w:right="43"/>
        <w:jc w:val="center"/>
      </w:pPr>
      <w:r>
        <w:t>Management Planning and Development Committee Charter</w:t>
      </w:r>
    </w:p>
    <w:p w14:paraId="7C3098BE" w14:textId="3A597F8B" w:rsidR="00DC1565" w:rsidRDefault="007C6BF1" w:rsidP="004D4D47">
      <w:pPr>
        <w:pStyle w:val="BodyText"/>
        <w:spacing w:before="21"/>
        <w:ind w:left="0" w:right="40"/>
        <w:jc w:val="center"/>
      </w:pPr>
      <w:r>
        <w:t xml:space="preserve">Approved as of </w:t>
      </w:r>
      <w:r w:rsidR="00150C8D">
        <w:t xml:space="preserve">March </w:t>
      </w:r>
      <w:r w:rsidR="003D01EA">
        <w:t>18, 2026</w:t>
      </w:r>
    </w:p>
    <w:p w14:paraId="7C3098BF" w14:textId="77777777" w:rsidR="007F4213" w:rsidRPr="007F4213" w:rsidRDefault="007C6BF1" w:rsidP="00065079">
      <w:pPr>
        <w:pStyle w:val="BodyText"/>
        <w:spacing w:before="200"/>
        <w:ind w:left="100" w:right="216" w:hanging="14"/>
        <w:rPr>
          <w:b/>
        </w:rPr>
      </w:pPr>
      <w:r w:rsidRPr="007F4213">
        <w:rPr>
          <w:b/>
        </w:rPr>
        <w:t>Purpose</w:t>
      </w:r>
    </w:p>
    <w:p w14:paraId="7C3098C0" w14:textId="77777777" w:rsidR="00DC1565" w:rsidRDefault="007C6BF1" w:rsidP="00065079">
      <w:pPr>
        <w:pStyle w:val="BodyText"/>
        <w:spacing w:before="90"/>
        <w:ind w:left="0" w:right="221" w:firstLine="720"/>
      </w:pPr>
      <w:r>
        <w:t>T</w:t>
      </w:r>
      <w:r w:rsidR="00634311">
        <w:t>he Management Planning and Development Committee (the “Committee”) was created by the Board of Directors of the Company (the “Board”) to:</w:t>
      </w:r>
    </w:p>
    <w:p w14:paraId="7C3098C1" w14:textId="1D38F892" w:rsidR="00DC1565" w:rsidRDefault="007C6BF1" w:rsidP="00065079">
      <w:pPr>
        <w:pStyle w:val="ListParagraph"/>
        <w:numPr>
          <w:ilvl w:val="0"/>
          <w:numId w:val="3"/>
        </w:numPr>
        <w:tabs>
          <w:tab w:val="left" w:pos="720"/>
        </w:tabs>
        <w:spacing w:before="120"/>
        <w:ind w:left="720" w:hanging="360"/>
        <w:rPr>
          <w:sz w:val="24"/>
        </w:rPr>
      </w:pPr>
      <w:r>
        <w:rPr>
          <w:sz w:val="24"/>
        </w:rPr>
        <w:t xml:space="preserve">oversee the Company’s compensation and benefits </w:t>
      </w:r>
      <w:r w:rsidR="003D01EA">
        <w:rPr>
          <w:sz w:val="24"/>
        </w:rPr>
        <w:t xml:space="preserve">plans and </w:t>
      </w:r>
      <w:r>
        <w:rPr>
          <w:sz w:val="24"/>
        </w:rPr>
        <w:t>policies</w:t>
      </w:r>
      <w:r>
        <w:rPr>
          <w:spacing w:val="-6"/>
          <w:sz w:val="24"/>
        </w:rPr>
        <w:t xml:space="preserve"> </w:t>
      </w:r>
      <w:proofErr w:type="gramStart"/>
      <w:r>
        <w:rPr>
          <w:sz w:val="24"/>
        </w:rPr>
        <w:t>generally;</w:t>
      </w:r>
      <w:proofErr w:type="gramEnd"/>
    </w:p>
    <w:p w14:paraId="7C3098C2" w14:textId="06ABD695" w:rsidR="0000074B" w:rsidRPr="006F6418" w:rsidRDefault="007C6BF1" w:rsidP="00065079">
      <w:pPr>
        <w:pStyle w:val="ListParagraph"/>
        <w:numPr>
          <w:ilvl w:val="0"/>
          <w:numId w:val="3"/>
        </w:numPr>
        <w:tabs>
          <w:tab w:val="left" w:pos="720"/>
        </w:tabs>
        <w:spacing w:before="120"/>
        <w:ind w:left="720" w:right="841" w:hanging="360"/>
        <w:rPr>
          <w:sz w:val="24"/>
        </w:rPr>
      </w:pPr>
      <w:r>
        <w:rPr>
          <w:sz w:val="24"/>
        </w:rPr>
        <w:t xml:space="preserve">evaluate the performance of the Company’s </w:t>
      </w:r>
      <w:r w:rsidR="003D01EA">
        <w:rPr>
          <w:sz w:val="24"/>
        </w:rPr>
        <w:t xml:space="preserve">(i) </w:t>
      </w:r>
      <w:r>
        <w:rPr>
          <w:sz w:val="24"/>
        </w:rPr>
        <w:t xml:space="preserve">Chief Executive Officer (the “CEO”), </w:t>
      </w:r>
      <w:r w:rsidR="003D01EA">
        <w:rPr>
          <w:sz w:val="24"/>
        </w:rPr>
        <w:t>(ii) other “</w:t>
      </w:r>
      <w:r>
        <w:rPr>
          <w:sz w:val="24"/>
        </w:rPr>
        <w:t>officers</w:t>
      </w:r>
      <w:r w:rsidR="003D01EA">
        <w:rPr>
          <w:sz w:val="24"/>
        </w:rPr>
        <w:t xml:space="preserve">” within the meaning of Rule 16a-1(f) of the Securities Exchange Act of 1934, as amended (the “Exchange Act”) (other than the CEO, the “Section 16 Officers”), and (iii) </w:t>
      </w:r>
      <w:r>
        <w:rPr>
          <w:sz w:val="24"/>
        </w:rPr>
        <w:t>other designated officers (</w:t>
      </w:r>
      <w:r w:rsidR="003D01EA">
        <w:rPr>
          <w:sz w:val="24"/>
        </w:rPr>
        <w:t xml:space="preserve">collectively with the Section 16 Officers, the </w:t>
      </w:r>
      <w:r>
        <w:rPr>
          <w:sz w:val="24"/>
        </w:rPr>
        <w:t>“</w:t>
      </w:r>
      <w:r w:rsidR="003D01EA">
        <w:rPr>
          <w:sz w:val="24"/>
        </w:rPr>
        <w:t>D</w:t>
      </w:r>
      <w:r>
        <w:rPr>
          <w:sz w:val="24"/>
        </w:rPr>
        <w:t>esignated</w:t>
      </w:r>
      <w:r>
        <w:rPr>
          <w:spacing w:val="-13"/>
          <w:sz w:val="24"/>
        </w:rPr>
        <w:t xml:space="preserve"> </w:t>
      </w:r>
      <w:r w:rsidR="003D01EA">
        <w:rPr>
          <w:sz w:val="24"/>
        </w:rPr>
        <w:t>O</w:t>
      </w:r>
      <w:r>
        <w:rPr>
          <w:sz w:val="24"/>
        </w:rPr>
        <w:t>fficers”);</w:t>
      </w:r>
    </w:p>
    <w:p w14:paraId="7C3098C3" w14:textId="4E33D10E" w:rsidR="00DC1565" w:rsidRDefault="007C6BF1" w:rsidP="00065079">
      <w:pPr>
        <w:pStyle w:val="ListParagraph"/>
        <w:numPr>
          <w:ilvl w:val="0"/>
          <w:numId w:val="3"/>
        </w:numPr>
        <w:tabs>
          <w:tab w:val="left" w:pos="720"/>
        </w:tabs>
        <w:spacing w:before="120"/>
        <w:ind w:left="720" w:right="600" w:hanging="360"/>
        <w:rPr>
          <w:sz w:val="24"/>
        </w:rPr>
      </w:pPr>
      <w:r>
        <w:rPr>
          <w:sz w:val="24"/>
        </w:rPr>
        <w:t xml:space="preserve">in consultation with the other independent directors of the Company, </w:t>
      </w:r>
      <w:r w:rsidR="006F6418">
        <w:rPr>
          <w:sz w:val="24"/>
        </w:rPr>
        <w:t xml:space="preserve">including the </w:t>
      </w:r>
      <w:r w:rsidR="009F4894">
        <w:rPr>
          <w:sz w:val="24"/>
        </w:rPr>
        <w:t>L</w:t>
      </w:r>
      <w:r w:rsidR="006F6418">
        <w:rPr>
          <w:sz w:val="24"/>
        </w:rPr>
        <w:t xml:space="preserve">ead </w:t>
      </w:r>
      <w:r w:rsidR="009F4894">
        <w:rPr>
          <w:sz w:val="24"/>
        </w:rPr>
        <w:t>I</w:t>
      </w:r>
      <w:r w:rsidR="006F6418">
        <w:rPr>
          <w:sz w:val="24"/>
        </w:rPr>
        <w:t xml:space="preserve">ndependent </w:t>
      </w:r>
      <w:r w:rsidR="009F4894">
        <w:rPr>
          <w:sz w:val="24"/>
        </w:rPr>
        <w:t>D</w:t>
      </w:r>
      <w:r w:rsidR="006F6418">
        <w:rPr>
          <w:sz w:val="24"/>
        </w:rPr>
        <w:t>irector</w:t>
      </w:r>
      <w:r w:rsidR="00B34151">
        <w:rPr>
          <w:sz w:val="24"/>
        </w:rPr>
        <w:t xml:space="preserve"> </w:t>
      </w:r>
      <w:r w:rsidR="00AF0552">
        <w:rPr>
          <w:sz w:val="24"/>
        </w:rPr>
        <w:t>(</w:t>
      </w:r>
      <w:r w:rsidR="00B34151">
        <w:rPr>
          <w:sz w:val="24"/>
        </w:rPr>
        <w:t>if any</w:t>
      </w:r>
      <w:r w:rsidR="00AF0552">
        <w:rPr>
          <w:sz w:val="24"/>
        </w:rPr>
        <w:t>)</w:t>
      </w:r>
      <w:r w:rsidR="00503964">
        <w:rPr>
          <w:sz w:val="24"/>
        </w:rPr>
        <w:t>,</w:t>
      </w:r>
      <w:r w:rsidR="006F6418">
        <w:rPr>
          <w:sz w:val="24"/>
        </w:rPr>
        <w:t xml:space="preserve"> </w:t>
      </w:r>
      <w:r>
        <w:rPr>
          <w:sz w:val="24"/>
        </w:rPr>
        <w:t>oversee</w:t>
      </w:r>
      <w:r w:rsidR="003D01EA">
        <w:rPr>
          <w:sz w:val="24"/>
        </w:rPr>
        <w:t>, determine</w:t>
      </w:r>
      <w:r>
        <w:rPr>
          <w:sz w:val="24"/>
        </w:rPr>
        <w:t xml:space="preserve"> and </w:t>
      </w:r>
      <w:r w:rsidR="003D01EA">
        <w:rPr>
          <w:sz w:val="24"/>
        </w:rPr>
        <w:t xml:space="preserve">approve the </w:t>
      </w:r>
      <w:r>
        <w:rPr>
          <w:sz w:val="24"/>
        </w:rPr>
        <w:t>compensation for the Company’s</w:t>
      </w:r>
      <w:r>
        <w:rPr>
          <w:spacing w:val="-2"/>
          <w:sz w:val="24"/>
        </w:rPr>
        <w:t xml:space="preserve"> </w:t>
      </w:r>
      <w:proofErr w:type="gramStart"/>
      <w:r>
        <w:rPr>
          <w:sz w:val="24"/>
        </w:rPr>
        <w:t>CEO;</w:t>
      </w:r>
      <w:proofErr w:type="gramEnd"/>
    </w:p>
    <w:p w14:paraId="5204C058" w14:textId="00784BCC" w:rsidR="003D01EA" w:rsidRPr="003D01EA" w:rsidRDefault="003D01EA" w:rsidP="003D01EA">
      <w:pPr>
        <w:pStyle w:val="ListParagraph"/>
        <w:numPr>
          <w:ilvl w:val="0"/>
          <w:numId w:val="3"/>
        </w:numPr>
        <w:tabs>
          <w:tab w:val="left" w:pos="720"/>
        </w:tabs>
        <w:spacing w:before="120"/>
        <w:ind w:left="720" w:right="1513" w:hanging="360"/>
        <w:rPr>
          <w:sz w:val="24"/>
        </w:rPr>
      </w:pPr>
      <w:r>
        <w:rPr>
          <w:sz w:val="24"/>
        </w:rPr>
        <w:t>oversee</w:t>
      </w:r>
      <w:r>
        <w:rPr>
          <w:sz w:val="24"/>
        </w:rPr>
        <w:t>, determine</w:t>
      </w:r>
      <w:r>
        <w:rPr>
          <w:sz w:val="24"/>
        </w:rPr>
        <w:t xml:space="preserve"> and </w:t>
      </w:r>
      <w:r>
        <w:rPr>
          <w:sz w:val="24"/>
        </w:rPr>
        <w:t>approve the</w:t>
      </w:r>
      <w:r>
        <w:rPr>
          <w:sz w:val="24"/>
        </w:rPr>
        <w:t xml:space="preserve"> compensation for the </w:t>
      </w:r>
      <w:r>
        <w:rPr>
          <w:sz w:val="24"/>
        </w:rPr>
        <w:t>D</w:t>
      </w:r>
      <w:r>
        <w:rPr>
          <w:sz w:val="24"/>
        </w:rPr>
        <w:t>esignated</w:t>
      </w:r>
      <w:r>
        <w:rPr>
          <w:spacing w:val="-5"/>
          <w:sz w:val="24"/>
        </w:rPr>
        <w:t xml:space="preserve"> </w:t>
      </w:r>
      <w:proofErr w:type="gramStart"/>
      <w:r>
        <w:rPr>
          <w:sz w:val="24"/>
        </w:rPr>
        <w:t>O</w:t>
      </w:r>
      <w:r>
        <w:rPr>
          <w:sz w:val="24"/>
        </w:rPr>
        <w:t>fficers;</w:t>
      </w:r>
      <w:proofErr w:type="gramEnd"/>
      <w:r>
        <w:rPr>
          <w:sz w:val="24"/>
        </w:rPr>
        <w:t xml:space="preserve"> </w:t>
      </w:r>
    </w:p>
    <w:p w14:paraId="7C3098C4" w14:textId="1B59B84C" w:rsidR="006F6418" w:rsidRPr="006F6418" w:rsidRDefault="007C6BF1" w:rsidP="00065079">
      <w:pPr>
        <w:pStyle w:val="ListParagraph"/>
        <w:numPr>
          <w:ilvl w:val="0"/>
          <w:numId w:val="3"/>
        </w:numPr>
        <w:tabs>
          <w:tab w:val="left" w:pos="720"/>
        </w:tabs>
        <w:spacing w:before="120"/>
        <w:ind w:left="720" w:right="841" w:hanging="360"/>
        <w:rPr>
          <w:sz w:val="24"/>
        </w:rPr>
      </w:pPr>
      <w:r>
        <w:rPr>
          <w:sz w:val="24"/>
        </w:rPr>
        <w:t xml:space="preserve">if the Chair of the Board is </w:t>
      </w:r>
      <w:r w:rsidR="003D01EA">
        <w:rPr>
          <w:sz w:val="24"/>
        </w:rPr>
        <w:t>a Section 16 O</w:t>
      </w:r>
      <w:r w:rsidR="00503964">
        <w:rPr>
          <w:sz w:val="24"/>
        </w:rPr>
        <w:t>fficer</w:t>
      </w:r>
      <w:r w:rsidR="003D01EA">
        <w:rPr>
          <w:sz w:val="24"/>
        </w:rPr>
        <w:t xml:space="preserve"> other than the CEO</w:t>
      </w:r>
      <w:r>
        <w:rPr>
          <w:sz w:val="24"/>
        </w:rPr>
        <w:t xml:space="preserve">, evaluate the performance </w:t>
      </w:r>
      <w:r w:rsidR="003649A0">
        <w:rPr>
          <w:sz w:val="24"/>
        </w:rPr>
        <w:t xml:space="preserve">of </w:t>
      </w:r>
      <w:r>
        <w:rPr>
          <w:sz w:val="24"/>
        </w:rPr>
        <w:t>the Chair</w:t>
      </w:r>
      <w:r w:rsidR="008A04CA">
        <w:rPr>
          <w:sz w:val="24"/>
        </w:rPr>
        <w:t xml:space="preserve"> of the Board and oversee and set compensation for the Chair of the Board, </w:t>
      </w:r>
      <w:r w:rsidR="00D26FC1">
        <w:rPr>
          <w:sz w:val="24"/>
        </w:rPr>
        <w:t xml:space="preserve">in </w:t>
      </w:r>
      <w:r w:rsidR="00330BB1">
        <w:rPr>
          <w:sz w:val="24"/>
        </w:rPr>
        <w:t xml:space="preserve">consultation with the other independent directors of the Company, including </w:t>
      </w:r>
      <w:r w:rsidR="00D26FC1">
        <w:rPr>
          <w:sz w:val="24"/>
        </w:rPr>
        <w:t>the Lead Independent Director</w:t>
      </w:r>
      <w:r w:rsidR="003D01EA">
        <w:rPr>
          <w:sz w:val="24"/>
        </w:rPr>
        <w:t>, and report the results of such review and any action the Committee takes with respect thereto to the Board</w:t>
      </w:r>
      <w:r>
        <w:rPr>
          <w:sz w:val="24"/>
        </w:rPr>
        <w:t>;</w:t>
      </w:r>
    </w:p>
    <w:p w14:paraId="7C3098C6" w14:textId="6E06A9C5" w:rsidR="00DC1565" w:rsidRDefault="007C6BF1" w:rsidP="00065079">
      <w:pPr>
        <w:pStyle w:val="ListParagraph"/>
        <w:numPr>
          <w:ilvl w:val="0"/>
          <w:numId w:val="3"/>
        </w:numPr>
        <w:tabs>
          <w:tab w:val="left" w:pos="720"/>
        </w:tabs>
        <w:spacing w:before="120"/>
        <w:ind w:left="720" w:right="1513" w:hanging="360"/>
        <w:rPr>
          <w:sz w:val="24"/>
        </w:rPr>
      </w:pPr>
      <w:r>
        <w:rPr>
          <w:sz w:val="24"/>
        </w:rPr>
        <w:t xml:space="preserve">review and recommend to the Board compensation (including equity-based compensation) for the Company’s non-employee </w:t>
      </w:r>
      <w:proofErr w:type="gramStart"/>
      <w:r>
        <w:rPr>
          <w:sz w:val="24"/>
        </w:rPr>
        <w:t>directors;</w:t>
      </w:r>
      <w:proofErr w:type="gramEnd"/>
    </w:p>
    <w:p w14:paraId="2BBF7751" w14:textId="77777777" w:rsidR="003D01EA" w:rsidRDefault="007C6BF1" w:rsidP="00065079">
      <w:pPr>
        <w:pStyle w:val="ListParagraph"/>
        <w:numPr>
          <w:ilvl w:val="0"/>
          <w:numId w:val="3"/>
        </w:numPr>
        <w:tabs>
          <w:tab w:val="left" w:pos="720"/>
        </w:tabs>
        <w:spacing w:before="120"/>
        <w:ind w:left="720" w:right="677" w:hanging="360"/>
        <w:rPr>
          <w:sz w:val="24"/>
        </w:rPr>
      </w:pPr>
      <w:r>
        <w:rPr>
          <w:sz w:val="24"/>
        </w:rPr>
        <w:t>prepare the compensation committee report to be included in the Company’s</w:t>
      </w:r>
      <w:r>
        <w:rPr>
          <w:spacing w:val="-22"/>
          <w:sz w:val="24"/>
        </w:rPr>
        <w:t xml:space="preserve"> </w:t>
      </w:r>
      <w:r>
        <w:rPr>
          <w:sz w:val="24"/>
        </w:rPr>
        <w:t>annual proxy</w:t>
      </w:r>
      <w:r>
        <w:rPr>
          <w:spacing w:val="-1"/>
          <w:sz w:val="24"/>
        </w:rPr>
        <w:t xml:space="preserve"> </w:t>
      </w:r>
      <w:r>
        <w:rPr>
          <w:sz w:val="24"/>
        </w:rPr>
        <w:t>statement</w:t>
      </w:r>
      <w:r w:rsidR="003D01EA">
        <w:rPr>
          <w:sz w:val="24"/>
        </w:rPr>
        <w:t>; and</w:t>
      </w:r>
    </w:p>
    <w:p w14:paraId="7C3098C7" w14:textId="4FB6A5EC" w:rsidR="00DC1565" w:rsidRDefault="003D01EA" w:rsidP="00065079">
      <w:pPr>
        <w:pStyle w:val="ListParagraph"/>
        <w:numPr>
          <w:ilvl w:val="0"/>
          <w:numId w:val="3"/>
        </w:numPr>
        <w:tabs>
          <w:tab w:val="left" w:pos="720"/>
        </w:tabs>
        <w:spacing w:before="120"/>
        <w:ind w:left="720" w:right="677" w:hanging="360"/>
        <w:rPr>
          <w:sz w:val="24"/>
        </w:rPr>
      </w:pPr>
      <w:r>
        <w:rPr>
          <w:sz w:val="24"/>
        </w:rPr>
        <w:t>assist with the Board and management’s oversight of the Company’s human capital management function, and report significant matters related thereto to the Board as appropriate</w:t>
      </w:r>
      <w:r w:rsidR="007C6BF1">
        <w:rPr>
          <w:sz w:val="24"/>
        </w:rPr>
        <w:t>.</w:t>
      </w:r>
    </w:p>
    <w:p w14:paraId="7C3098C8" w14:textId="77777777" w:rsidR="00DC1565" w:rsidRDefault="007C6BF1" w:rsidP="00065079">
      <w:pPr>
        <w:pStyle w:val="Heading1"/>
        <w:spacing w:before="200"/>
        <w:ind w:left="101" w:hanging="101"/>
      </w:pPr>
      <w:r>
        <w:t>Membership</w:t>
      </w:r>
    </w:p>
    <w:p w14:paraId="7C3098C9" w14:textId="0A89ACB8" w:rsidR="00DC1565" w:rsidRDefault="007C6BF1" w:rsidP="00065079">
      <w:pPr>
        <w:pStyle w:val="BodyText"/>
        <w:spacing w:before="120"/>
        <w:ind w:left="0" w:right="217" w:firstLine="706"/>
      </w:pPr>
      <w:r>
        <w:t>The Committee shall consist of at least three members, comprised solely of independent directors meeting the independence requirements of the New York Stock Exchange (“NYSE”) and the Securities and Exchange Commission (the “SEC”) as promulgated from time to time for membership on a company’s compensation committee. Furthermore, at least two members of the Committee shall qualify as “non-employee” directors under Rule 16b-3 promulgated under the Exchange Act. The Nominating and Corporate Governance Committee shall recommend nominees for appointment to the Committee annually and as vacancies or newly created positions occur. Committee members shall be appointed by the Board and may be removed by the Board at any time</w:t>
      </w:r>
      <w:r w:rsidR="00F3424E">
        <w:t xml:space="preserve"> and for any reason</w:t>
      </w:r>
      <w:r>
        <w:t xml:space="preserve">. The Nominating and Corporate Governance </w:t>
      </w:r>
      <w:r>
        <w:lastRenderedPageBreak/>
        <w:t>Committee shall recommend to the Board, and the Board shall designate, the Chair of the Committee.</w:t>
      </w:r>
    </w:p>
    <w:p w14:paraId="7C3098CA" w14:textId="77777777" w:rsidR="00DC1565" w:rsidRDefault="007C6BF1" w:rsidP="00EE30AC">
      <w:pPr>
        <w:pStyle w:val="Heading1"/>
        <w:spacing w:before="160"/>
        <w:ind w:left="0"/>
      </w:pPr>
      <w:r>
        <w:t>Procedures</w:t>
      </w:r>
    </w:p>
    <w:p w14:paraId="7C3098CB" w14:textId="77777777" w:rsidR="00DC1565" w:rsidRDefault="007C6BF1" w:rsidP="00065079">
      <w:pPr>
        <w:pStyle w:val="BodyText"/>
        <w:spacing w:before="120"/>
        <w:ind w:left="0" w:right="129" w:firstLine="706"/>
      </w:pPr>
      <w:r>
        <w:t>The Committee shall meet as often as it determines is appropriate to carry out its responsibilities under this charter, but not less frequently than four times a year. The Chair of the Committee, in consultation with the other Committee members, shall determine the frequency and length of the committee meetings and shall set meeting agendas consistent with this charter.</w:t>
      </w:r>
      <w:r w:rsidR="007F4213">
        <w:t xml:space="preserve"> </w:t>
      </w:r>
      <w:r>
        <w:t>The Committee shall maintain minutes of its meetings and make available copies of such minutes to the Board. The Secretary of the Company shall maintain copies of all minutes as permanent records of the Company. No executive should attend that portion of any meeting where such executive’s performance or compensation is discussed, unless specifically invited by the Committee.</w:t>
      </w:r>
    </w:p>
    <w:p w14:paraId="7C3098CC" w14:textId="77777777" w:rsidR="00DC1565" w:rsidRDefault="007C6BF1" w:rsidP="00EE30AC">
      <w:pPr>
        <w:pStyle w:val="Heading1"/>
        <w:spacing w:before="160"/>
        <w:ind w:left="101" w:hanging="101"/>
      </w:pPr>
      <w:r>
        <w:t>Authority</w:t>
      </w:r>
    </w:p>
    <w:p w14:paraId="7C3098CD" w14:textId="77777777" w:rsidR="00DC1565" w:rsidRDefault="007C6BF1" w:rsidP="00065079">
      <w:pPr>
        <w:spacing w:before="120"/>
        <w:ind w:left="101" w:hanging="101"/>
        <w:rPr>
          <w:i/>
          <w:sz w:val="24"/>
        </w:rPr>
      </w:pPr>
      <w:r>
        <w:rPr>
          <w:i/>
          <w:sz w:val="24"/>
        </w:rPr>
        <w:t>General</w:t>
      </w:r>
    </w:p>
    <w:p w14:paraId="7C3098CE" w14:textId="14A6A820" w:rsidR="00DC1565" w:rsidRDefault="007C6BF1" w:rsidP="00065079">
      <w:pPr>
        <w:pStyle w:val="BodyText"/>
        <w:spacing w:before="120"/>
        <w:ind w:left="0" w:right="102" w:firstLine="720"/>
      </w:pPr>
      <w:r>
        <w:t xml:space="preserve">The Committee has the sole authority to retain and terminate any advisor, including any legal counsel, accountant or compensation consultant,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w:t>
      </w:r>
      <w:proofErr w:type="gramStart"/>
      <w:r>
        <w:t>terms, and</w:t>
      </w:r>
      <w:proofErr w:type="gramEnd"/>
      <w:r>
        <w:t xml:space="preserve"> shall have available appropriate funding from the Company</w:t>
      </w:r>
      <w:r w:rsidR="00F3424E">
        <w:t xml:space="preserve"> for payment thereof</w:t>
      </w:r>
      <w:r>
        <w:t xml:space="preserve">. The Committee </w:t>
      </w:r>
      <w:r w:rsidR="00803BE5">
        <w:t xml:space="preserve">shall monitor the independence of advisors and </w:t>
      </w:r>
      <w:proofErr w:type="gramStart"/>
      <w:r w:rsidR="002E184C">
        <w:t>take</w:t>
      </w:r>
      <w:r>
        <w:t xml:space="preserve"> into account</w:t>
      </w:r>
      <w:proofErr w:type="gramEnd"/>
      <w:r>
        <w:t xml:space="preserve"> the independence of advisors in a manner consistent with any applicable requirements of the NYSE, as well as any other criteria it deems appropriate. The Committee is directly responsible for the appointment, compensation and oversight of any such advisor’s</w:t>
      </w:r>
      <w:r>
        <w:rPr>
          <w:spacing w:val="-23"/>
        </w:rPr>
        <w:t xml:space="preserve"> </w:t>
      </w:r>
      <w:r>
        <w:t>work.</w:t>
      </w:r>
    </w:p>
    <w:p w14:paraId="7C3098CF" w14:textId="77777777" w:rsidR="00DC1565" w:rsidRDefault="007C6BF1" w:rsidP="00EE30AC">
      <w:pPr>
        <w:spacing w:before="120"/>
        <w:rPr>
          <w:i/>
          <w:sz w:val="24"/>
        </w:rPr>
      </w:pPr>
      <w:r>
        <w:rPr>
          <w:i/>
          <w:sz w:val="24"/>
        </w:rPr>
        <w:t>Delegation</w:t>
      </w:r>
    </w:p>
    <w:p w14:paraId="7C3098D0" w14:textId="4C52180C" w:rsidR="003634E6" w:rsidRDefault="007C6BF1" w:rsidP="00065079">
      <w:pPr>
        <w:pStyle w:val="BodyText"/>
        <w:spacing w:before="120"/>
        <w:ind w:left="0" w:right="40" w:firstLine="720"/>
      </w:pPr>
      <w:r>
        <w:t xml:space="preserve">The Committee may delegate its authority to one or more subcommittees or </w:t>
      </w:r>
      <w:r w:rsidR="00F3424E">
        <w:t xml:space="preserve">to </w:t>
      </w:r>
      <w:r>
        <w:t>the Chair of the Committee when it deems appropriate and in the best interests of the Company. The Committee shall not delegate to a subcommittee or the Chair of the Committee any power or authority required by any law, regulation or listing standard to be exercised by the Committee as a whole.</w:t>
      </w:r>
    </w:p>
    <w:p w14:paraId="7C3098D1" w14:textId="1F19F9A9" w:rsidR="00DC1565" w:rsidRDefault="007C6BF1" w:rsidP="00065079">
      <w:pPr>
        <w:pStyle w:val="BodyText"/>
        <w:spacing w:before="120"/>
        <w:ind w:left="0" w:right="98" w:firstLine="720"/>
      </w:pPr>
      <w:r>
        <w:t xml:space="preserve">The Committee may delegate to the Chair of the Committee or, in his or her absence, to one or more of its other members, the authority to make grants and awards of stock rights or options to any </w:t>
      </w:r>
      <w:r w:rsidR="00F3424E">
        <w:t>individual who is neither a Designated Officer or the CEO</w:t>
      </w:r>
      <w:r>
        <w:t xml:space="preserve"> under such of the Company’s incentive compensation or other equity-based plans as the Committee deems appropriate and in accordance with the terms of such plans.</w:t>
      </w:r>
    </w:p>
    <w:p w14:paraId="7C3098D2" w14:textId="04E643EA" w:rsidR="00DC1565" w:rsidRDefault="007C6BF1" w:rsidP="00065079">
      <w:pPr>
        <w:pStyle w:val="BodyText"/>
        <w:spacing w:before="120"/>
        <w:ind w:left="0" w:right="251" w:firstLine="720"/>
      </w:pPr>
      <w:r>
        <w:t xml:space="preserve">The Committee may delegate its authority </w:t>
      </w:r>
      <w:proofErr w:type="gramStart"/>
      <w:r>
        <w:t>hereunder</w:t>
      </w:r>
      <w:proofErr w:type="gramEnd"/>
      <w:r>
        <w:t xml:space="preserve"> relating to compensation practices for employees other than </w:t>
      </w:r>
      <w:r w:rsidR="00F3424E">
        <w:t>the CEO, Designated O</w:t>
      </w:r>
      <w:r>
        <w:t xml:space="preserve">fficers and </w:t>
      </w:r>
      <w:r w:rsidR="00F3424E">
        <w:t xml:space="preserve">non-employee </w:t>
      </w:r>
      <w:r>
        <w:t>directors</w:t>
      </w:r>
      <w:r w:rsidR="00F3424E">
        <w:t xml:space="preserve"> of the Company, and may fully delegate authority relating to matters it deems to be ministerial, in each case</w:t>
      </w:r>
      <w:r>
        <w:t>, to the extent it deems appropriate and consistent with law and customary practice.</w:t>
      </w:r>
    </w:p>
    <w:p w14:paraId="7C3098D3" w14:textId="77777777" w:rsidR="00DC1565" w:rsidRDefault="007C6BF1" w:rsidP="00EE30AC">
      <w:pPr>
        <w:pStyle w:val="Heading1"/>
        <w:spacing w:before="160"/>
        <w:ind w:left="0"/>
      </w:pPr>
      <w:r>
        <w:t>Responsibilities</w:t>
      </w:r>
    </w:p>
    <w:p w14:paraId="7C3098D4" w14:textId="77777777" w:rsidR="00DC1565" w:rsidRDefault="007C6BF1" w:rsidP="00065079">
      <w:pPr>
        <w:pStyle w:val="BodyText"/>
        <w:spacing w:before="120"/>
        <w:ind w:left="0" w:right="513" w:firstLine="720"/>
      </w:pPr>
      <w:r>
        <w:t>In addition to any other responsibilities that may be assigned from time to time by the Board, the Committee is responsible for the following matters:</w:t>
      </w:r>
    </w:p>
    <w:p w14:paraId="7C3098D5" w14:textId="77777777" w:rsidR="00DC1565" w:rsidRDefault="007C6BF1" w:rsidP="00F3424E">
      <w:pPr>
        <w:keepNext/>
        <w:keepLines/>
        <w:widowControl/>
        <w:spacing w:before="120"/>
        <w:rPr>
          <w:i/>
          <w:sz w:val="24"/>
        </w:rPr>
      </w:pPr>
      <w:r>
        <w:rPr>
          <w:i/>
          <w:sz w:val="24"/>
        </w:rPr>
        <w:lastRenderedPageBreak/>
        <w:t>Compensation and Benefits Policies</w:t>
      </w:r>
    </w:p>
    <w:p w14:paraId="552939EC" w14:textId="77777777" w:rsidR="00207955" w:rsidRPr="00207955" w:rsidRDefault="007C6BF1" w:rsidP="00F3424E">
      <w:pPr>
        <w:pStyle w:val="ListParagraph"/>
        <w:keepNext/>
        <w:keepLines/>
        <w:widowControl/>
        <w:numPr>
          <w:ilvl w:val="0"/>
          <w:numId w:val="2"/>
        </w:numPr>
        <w:tabs>
          <w:tab w:val="left" w:pos="839"/>
          <w:tab w:val="left" w:pos="840"/>
        </w:tabs>
        <w:spacing w:before="71"/>
        <w:ind w:left="835" w:right="216" w:hanging="655"/>
      </w:pPr>
      <w:r w:rsidRPr="00622E7E">
        <w:rPr>
          <w:sz w:val="24"/>
        </w:rPr>
        <w:t>The Committee shall review the Company’s compensation and benefits</w:t>
      </w:r>
      <w:r w:rsidR="00F3424E">
        <w:rPr>
          <w:sz w:val="24"/>
        </w:rPr>
        <w:t xml:space="preserve"> plans and</w:t>
      </w:r>
      <w:r w:rsidRPr="00622E7E">
        <w:rPr>
          <w:sz w:val="24"/>
        </w:rPr>
        <w:t xml:space="preserve"> policies generally, including any incentive compensation plans and equity-based plans of the Company (subject, if applicable, to stockholder ratification</w:t>
      </w:r>
      <w:r w:rsidR="00207955">
        <w:rPr>
          <w:sz w:val="24"/>
        </w:rPr>
        <w:t xml:space="preserve"> or approval</w:t>
      </w:r>
      <w:r w:rsidRPr="00622E7E">
        <w:rPr>
          <w:sz w:val="24"/>
        </w:rPr>
        <w:t>). In reviewing such compensation and benefits policies, the Committee may consider the recruitment, development, promotion, retention and compensation of senior executives and other employees of the Company and any other factors that it deems appropriate,</w:t>
      </w:r>
      <w:r w:rsidRPr="00622E7E">
        <w:rPr>
          <w:spacing w:val="-22"/>
          <w:sz w:val="24"/>
        </w:rPr>
        <w:t xml:space="preserve"> </w:t>
      </w:r>
      <w:r w:rsidRPr="00622E7E">
        <w:rPr>
          <w:sz w:val="24"/>
        </w:rPr>
        <w:t>including</w:t>
      </w:r>
      <w:r w:rsidR="00622E7E">
        <w:rPr>
          <w:sz w:val="24"/>
        </w:rPr>
        <w:t xml:space="preserve"> </w:t>
      </w:r>
      <w:r w:rsidRPr="00F3424E">
        <w:rPr>
          <w:sz w:val="24"/>
          <w:szCs w:val="24"/>
        </w:rPr>
        <w:t xml:space="preserve">compensation of senior executives at peer companies. </w:t>
      </w:r>
    </w:p>
    <w:p w14:paraId="7C3098D6" w14:textId="0D0A1EA6" w:rsidR="00DC1565" w:rsidRDefault="00207955" w:rsidP="00F3424E">
      <w:pPr>
        <w:pStyle w:val="ListParagraph"/>
        <w:keepNext/>
        <w:keepLines/>
        <w:widowControl/>
        <w:numPr>
          <w:ilvl w:val="0"/>
          <w:numId w:val="2"/>
        </w:numPr>
        <w:tabs>
          <w:tab w:val="left" w:pos="839"/>
          <w:tab w:val="left" w:pos="840"/>
        </w:tabs>
        <w:spacing w:before="71"/>
        <w:ind w:left="835" w:right="216" w:hanging="655"/>
      </w:pPr>
      <w:r>
        <w:rPr>
          <w:sz w:val="24"/>
          <w:szCs w:val="24"/>
        </w:rPr>
        <w:t>In connection with the Committee’s review as described above, t</w:t>
      </w:r>
      <w:r w:rsidR="007C6BF1" w:rsidRPr="00F3424E">
        <w:rPr>
          <w:sz w:val="24"/>
          <w:szCs w:val="24"/>
        </w:rPr>
        <w:t xml:space="preserve">he Committee shall report the results of such review and any action it takes with respect to the Company’s compensation and benefits policies to the </w:t>
      </w:r>
      <w:proofErr w:type="gramStart"/>
      <w:r w:rsidR="007C6BF1" w:rsidRPr="00F3424E">
        <w:rPr>
          <w:sz w:val="24"/>
          <w:szCs w:val="24"/>
        </w:rPr>
        <w:t>Board</w:t>
      </w:r>
      <w:r>
        <w:rPr>
          <w:sz w:val="24"/>
          <w:szCs w:val="24"/>
        </w:rPr>
        <w:t>, and</w:t>
      </w:r>
      <w:proofErr w:type="gramEnd"/>
      <w:r>
        <w:rPr>
          <w:sz w:val="24"/>
          <w:szCs w:val="24"/>
        </w:rPr>
        <w:t xml:space="preserve"> shall make recommendations to the Board with respect to equity-based plans that are subject to Board approval</w:t>
      </w:r>
      <w:r w:rsidR="007C6BF1" w:rsidRPr="00F3424E">
        <w:rPr>
          <w:sz w:val="24"/>
          <w:szCs w:val="24"/>
        </w:rPr>
        <w:t>.</w:t>
      </w:r>
    </w:p>
    <w:p w14:paraId="7C3098D7" w14:textId="77777777" w:rsidR="00DC1565" w:rsidRDefault="007C6BF1" w:rsidP="00EE30AC">
      <w:pPr>
        <w:keepNext/>
        <w:keepLines/>
        <w:widowControl/>
        <w:spacing w:before="120"/>
        <w:ind w:left="115"/>
        <w:rPr>
          <w:i/>
          <w:sz w:val="24"/>
        </w:rPr>
      </w:pPr>
      <w:r>
        <w:rPr>
          <w:i/>
          <w:sz w:val="24"/>
        </w:rPr>
        <w:t>Recoupment Policy</w:t>
      </w:r>
    </w:p>
    <w:p w14:paraId="7C3098D8" w14:textId="46E25A1B" w:rsidR="00DC1565" w:rsidRDefault="007C6BF1" w:rsidP="00065079">
      <w:pPr>
        <w:pStyle w:val="ListParagraph"/>
        <w:keepNext/>
        <w:keepLines/>
        <w:widowControl/>
        <w:numPr>
          <w:ilvl w:val="0"/>
          <w:numId w:val="2"/>
        </w:numPr>
        <w:tabs>
          <w:tab w:val="left" w:pos="839"/>
          <w:tab w:val="left" w:pos="840"/>
        </w:tabs>
        <w:spacing w:before="120"/>
        <w:ind w:right="127" w:hanging="660"/>
        <w:rPr>
          <w:sz w:val="24"/>
        </w:rPr>
      </w:pPr>
      <w:r>
        <w:rPr>
          <w:sz w:val="24"/>
        </w:rPr>
        <w:t xml:space="preserve">The Committee shall approve, or recommend to the Board for approval, the creation or revision of any recoupment </w:t>
      </w:r>
      <w:r w:rsidR="00207955">
        <w:rPr>
          <w:sz w:val="24"/>
        </w:rPr>
        <w:t xml:space="preserve">or </w:t>
      </w:r>
      <w:proofErr w:type="spellStart"/>
      <w:r w:rsidR="00207955">
        <w:rPr>
          <w:sz w:val="24"/>
        </w:rPr>
        <w:t>clawback</w:t>
      </w:r>
      <w:proofErr w:type="spellEnd"/>
      <w:r w:rsidR="00207955">
        <w:rPr>
          <w:sz w:val="24"/>
        </w:rPr>
        <w:t xml:space="preserve"> </w:t>
      </w:r>
      <w:r>
        <w:rPr>
          <w:sz w:val="24"/>
        </w:rPr>
        <w:t>policy allowing the Company to recoup compensation paid</w:t>
      </w:r>
      <w:r>
        <w:rPr>
          <w:spacing w:val="-21"/>
          <w:sz w:val="24"/>
        </w:rPr>
        <w:t xml:space="preserve"> </w:t>
      </w:r>
      <w:r>
        <w:rPr>
          <w:sz w:val="24"/>
        </w:rPr>
        <w:t>to current and/or former employees, if and as the Committee determines to be necessary or appropriate, or as required by applicable law or NYSE requirements, and oversee the application of any such recoupment policy, to the extent set forth</w:t>
      </w:r>
      <w:r>
        <w:rPr>
          <w:spacing w:val="-9"/>
          <w:sz w:val="24"/>
        </w:rPr>
        <w:t xml:space="preserve"> </w:t>
      </w:r>
      <w:r>
        <w:rPr>
          <w:sz w:val="24"/>
        </w:rPr>
        <w:t>therein.</w:t>
      </w:r>
    </w:p>
    <w:p w14:paraId="7C3098D9" w14:textId="77777777" w:rsidR="00DC1565" w:rsidRDefault="007C6BF1" w:rsidP="00EE30AC">
      <w:pPr>
        <w:spacing w:before="120"/>
        <w:ind w:left="101"/>
        <w:rPr>
          <w:i/>
          <w:sz w:val="24"/>
        </w:rPr>
      </w:pPr>
      <w:r>
        <w:rPr>
          <w:i/>
          <w:sz w:val="24"/>
        </w:rPr>
        <w:t>Executive Compensation</w:t>
      </w:r>
    </w:p>
    <w:p w14:paraId="7C3098DA" w14:textId="4E63B2A1" w:rsidR="00DC1565" w:rsidRDefault="007C6BF1" w:rsidP="00065079">
      <w:pPr>
        <w:pStyle w:val="ListParagraph"/>
        <w:numPr>
          <w:ilvl w:val="0"/>
          <w:numId w:val="2"/>
        </w:numPr>
        <w:tabs>
          <w:tab w:val="left" w:pos="824"/>
          <w:tab w:val="left" w:pos="825"/>
        </w:tabs>
        <w:spacing w:before="120"/>
        <w:ind w:left="825" w:right="235" w:hanging="645"/>
        <w:rPr>
          <w:sz w:val="24"/>
        </w:rPr>
      </w:pPr>
      <w:r>
        <w:rPr>
          <w:sz w:val="24"/>
        </w:rPr>
        <w:t xml:space="preserve">The Committee shall review and determine the </w:t>
      </w:r>
      <w:r w:rsidR="00207955">
        <w:rPr>
          <w:sz w:val="24"/>
        </w:rPr>
        <w:t>individuals who are, in addition to the Section 16 Officers, Desi</w:t>
      </w:r>
      <w:r>
        <w:rPr>
          <w:sz w:val="24"/>
        </w:rPr>
        <w:t xml:space="preserve">gnated </w:t>
      </w:r>
      <w:r w:rsidR="00207955">
        <w:rPr>
          <w:sz w:val="24"/>
        </w:rPr>
        <w:t>O</w:t>
      </w:r>
      <w:r>
        <w:rPr>
          <w:sz w:val="24"/>
        </w:rPr>
        <w:t>fficers of the Company from time to</w:t>
      </w:r>
      <w:r>
        <w:rPr>
          <w:spacing w:val="-1"/>
          <w:sz w:val="24"/>
        </w:rPr>
        <w:t xml:space="preserve"> </w:t>
      </w:r>
      <w:r>
        <w:rPr>
          <w:sz w:val="24"/>
        </w:rPr>
        <w:t>time.</w:t>
      </w:r>
    </w:p>
    <w:p w14:paraId="7C3098DB" w14:textId="26535640" w:rsidR="00DC1565" w:rsidRDefault="007C6BF1" w:rsidP="00065079">
      <w:pPr>
        <w:pStyle w:val="ListParagraph"/>
        <w:numPr>
          <w:ilvl w:val="0"/>
          <w:numId w:val="2"/>
        </w:numPr>
        <w:tabs>
          <w:tab w:val="left" w:pos="839"/>
          <w:tab w:val="left" w:pos="840"/>
        </w:tabs>
        <w:spacing w:before="120"/>
        <w:ind w:right="113" w:hanging="645"/>
        <w:rPr>
          <w:sz w:val="24"/>
        </w:rPr>
      </w:pPr>
      <w:r>
        <w:rPr>
          <w:sz w:val="24"/>
        </w:rPr>
        <w:t xml:space="preserve">The Committee shall </w:t>
      </w:r>
      <w:r w:rsidR="00207955">
        <w:rPr>
          <w:sz w:val="24"/>
        </w:rPr>
        <w:t>(i) determine</w:t>
      </w:r>
      <w:r>
        <w:rPr>
          <w:sz w:val="24"/>
        </w:rPr>
        <w:t xml:space="preserve"> and approve for each of the </w:t>
      </w:r>
      <w:r w:rsidR="00207955">
        <w:rPr>
          <w:sz w:val="24"/>
        </w:rPr>
        <w:t>D</w:t>
      </w:r>
      <w:r>
        <w:rPr>
          <w:sz w:val="24"/>
        </w:rPr>
        <w:t xml:space="preserve">esignated </w:t>
      </w:r>
      <w:r w:rsidR="00207955">
        <w:rPr>
          <w:sz w:val="24"/>
        </w:rPr>
        <w:t>O</w:t>
      </w:r>
      <w:r>
        <w:rPr>
          <w:sz w:val="24"/>
        </w:rPr>
        <w:t xml:space="preserve">fficers of the Company, and </w:t>
      </w:r>
      <w:r w:rsidR="00207955">
        <w:rPr>
          <w:sz w:val="24"/>
        </w:rPr>
        <w:t xml:space="preserve">(ii) </w:t>
      </w:r>
      <w:r>
        <w:rPr>
          <w:sz w:val="24"/>
        </w:rPr>
        <w:t>in co</w:t>
      </w:r>
      <w:r w:rsidR="00207955">
        <w:rPr>
          <w:sz w:val="24"/>
        </w:rPr>
        <w:t>nsultatio</w:t>
      </w:r>
      <w:r>
        <w:rPr>
          <w:sz w:val="24"/>
        </w:rPr>
        <w:t>n with the other independent directors of the Company</w:t>
      </w:r>
      <w:r w:rsidR="00207955">
        <w:rPr>
          <w:sz w:val="24"/>
        </w:rPr>
        <w:t>, including the Lead Independent Director, if any</w:t>
      </w:r>
      <w:r>
        <w:rPr>
          <w:sz w:val="24"/>
        </w:rPr>
        <w:t xml:space="preserve">, shall </w:t>
      </w:r>
      <w:r w:rsidR="00207955">
        <w:rPr>
          <w:sz w:val="24"/>
        </w:rPr>
        <w:t xml:space="preserve">determine </w:t>
      </w:r>
      <w:r>
        <w:rPr>
          <w:sz w:val="24"/>
        </w:rPr>
        <w:t xml:space="preserve">and approve for the CEO, </w:t>
      </w:r>
      <w:r w:rsidR="00207955">
        <w:rPr>
          <w:sz w:val="24"/>
        </w:rPr>
        <w:t xml:space="preserve">each such individual’s </w:t>
      </w:r>
      <w:r>
        <w:rPr>
          <w:sz w:val="24"/>
        </w:rPr>
        <w:t>(</w:t>
      </w:r>
      <w:r w:rsidR="00207955">
        <w:rPr>
          <w:sz w:val="24"/>
        </w:rPr>
        <w:t>A</w:t>
      </w:r>
      <w:r>
        <w:rPr>
          <w:sz w:val="24"/>
        </w:rPr>
        <w:t>) annual base salary level, (</w:t>
      </w:r>
      <w:r w:rsidR="00207955">
        <w:rPr>
          <w:sz w:val="24"/>
        </w:rPr>
        <w:t>B</w:t>
      </w:r>
      <w:r>
        <w:rPr>
          <w:sz w:val="24"/>
        </w:rPr>
        <w:t>) annual incentive compensation, (</w:t>
      </w:r>
      <w:r w:rsidR="00207955">
        <w:rPr>
          <w:sz w:val="24"/>
        </w:rPr>
        <w:t>C</w:t>
      </w:r>
      <w:r>
        <w:rPr>
          <w:sz w:val="24"/>
        </w:rPr>
        <w:t>) long-term incentive compensation, (</w:t>
      </w:r>
      <w:r w:rsidR="00207955">
        <w:rPr>
          <w:sz w:val="24"/>
        </w:rPr>
        <w:t>D</w:t>
      </w:r>
      <w:r>
        <w:rPr>
          <w:sz w:val="24"/>
        </w:rPr>
        <w:t>) employment, severance</w:t>
      </w:r>
      <w:r w:rsidR="00207955">
        <w:rPr>
          <w:sz w:val="24"/>
        </w:rPr>
        <w:t>,</w:t>
      </w:r>
      <w:r>
        <w:rPr>
          <w:sz w:val="24"/>
        </w:rPr>
        <w:t xml:space="preserve"> change-in-control </w:t>
      </w:r>
      <w:r w:rsidR="00207955">
        <w:rPr>
          <w:sz w:val="24"/>
        </w:rPr>
        <w:t xml:space="preserve">and similar </w:t>
      </w:r>
      <w:r>
        <w:rPr>
          <w:sz w:val="24"/>
        </w:rPr>
        <w:t>agreements, if any, and (</w:t>
      </w:r>
      <w:r w:rsidR="00207955">
        <w:rPr>
          <w:sz w:val="24"/>
        </w:rPr>
        <w:t>E</w:t>
      </w:r>
      <w:r>
        <w:rPr>
          <w:sz w:val="24"/>
        </w:rPr>
        <w:t>) any other compensation, perquisites or special benefit items. In so reviewing</w:t>
      </w:r>
      <w:r w:rsidR="00207955">
        <w:rPr>
          <w:sz w:val="24"/>
        </w:rPr>
        <w:t>, determining</w:t>
      </w:r>
      <w:r>
        <w:rPr>
          <w:sz w:val="24"/>
        </w:rPr>
        <w:t xml:space="preserve"> and approving executive compensation, the Committee shall, among other</w:t>
      </w:r>
      <w:r>
        <w:rPr>
          <w:spacing w:val="-4"/>
          <w:sz w:val="24"/>
        </w:rPr>
        <w:t xml:space="preserve"> </w:t>
      </w:r>
      <w:r>
        <w:rPr>
          <w:sz w:val="24"/>
        </w:rPr>
        <w:t>things</w:t>
      </w:r>
      <w:r w:rsidR="00207955">
        <w:rPr>
          <w:sz w:val="24"/>
        </w:rPr>
        <w:t>, conduct the following evaluations</w:t>
      </w:r>
      <w:r>
        <w:rPr>
          <w:sz w:val="24"/>
        </w:rPr>
        <w:t>:</w:t>
      </w:r>
    </w:p>
    <w:p w14:paraId="7C3098DC" w14:textId="0CA95AAC" w:rsidR="00DC1565" w:rsidRDefault="007C6BF1" w:rsidP="00065079">
      <w:pPr>
        <w:pStyle w:val="ListParagraph"/>
        <w:numPr>
          <w:ilvl w:val="1"/>
          <w:numId w:val="2"/>
        </w:numPr>
        <w:tabs>
          <w:tab w:val="left" w:pos="1200"/>
        </w:tabs>
        <w:spacing w:before="120"/>
        <w:ind w:right="588"/>
        <w:rPr>
          <w:sz w:val="24"/>
        </w:rPr>
      </w:pPr>
      <w:r>
        <w:rPr>
          <w:sz w:val="24"/>
        </w:rPr>
        <w:t>identify, review and approve corporate goals and objectives relevant to</w:t>
      </w:r>
      <w:r>
        <w:rPr>
          <w:spacing w:val="-25"/>
          <w:sz w:val="24"/>
        </w:rPr>
        <w:t xml:space="preserve"> </w:t>
      </w:r>
      <w:r>
        <w:rPr>
          <w:sz w:val="24"/>
        </w:rPr>
        <w:t>executive compensation, including those relevant to the compensation of the</w:t>
      </w:r>
      <w:r>
        <w:rPr>
          <w:spacing w:val="-10"/>
          <w:sz w:val="24"/>
        </w:rPr>
        <w:t xml:space="preserve"> </w:t>
      </w:r>
      <w:r>
        <w:rPr>
          <w:sz w:val="24"/>
        </w:rPr>
        <w:t>CEO</w:t>
      </w:r>
      <w:r w:rsidR="00207955">
        <w:rPr>
          <w:sz w:val="24"/>
        </w:rPr>
        <w:t xml:space="preserve"> and the Designated </w:t>
      </w:r>
      <w:proofErr w:type="gramStart"/>
      <w:r w:rsidR="00207955">
        <w:rPr>
          <w:sz w:val="24"/>
        </w:rPr>
        <w:t>Officers</w:t>
      </w:r>
      <w:r>
        <w:rPr>
          <w:sz w:val="24"/>
        </w:rPr>
        <w:t>;</w:t>
      </w:r>
      <w:proofErr w:type="gramEnd"/>
    </w:p>
    <w:p w14:paraId="7C3098DD" w14:textId="48CB6D75" w:rsidR="00DC1565" w:rsidRDefault="007C6BF1" w:rsidP="00065079">
      <w:pPr>
        <w:pStyle w:val="ListParagraph"/>
        <w:numPr>
          <w:ilvl w:val="1"/>
          <w:numId w:val="2"/>
        </w:numPr>
        <w:tabs>
          <w:tab w:val="left" w:pos="1200"/>
        </w:tabs>
        <w:spacing w:before="120"/>
        <w:ind w:right="247"/>
        <w:rPr>
          <w:sz w:val="24"/>
        </w:rPr>
      </w:pPr>
      <w:r>
        <w:rPr>
          <w:sz w:val="24"/>
        </w:rPr>
        <w:t>in co</w:t>
      </w:r>
      <w:r w:rsidR="00207955">
        <w:rPr>
          <w:sz w:val="24"/>
        </w:rPr>
        <w:t>nsultation</w:t>
      </w:r>
      <w:r>
        <w:rPr>
          <w:sz w:val="24"/>
        </w:rPr>
        <w:t xml:space="preserve"> with the other independent directors of the Company, </w:t>
      </w:r>
      <w:r w:rsidR="00D45F7E">
        <w:rPr>
          <w:sz w:val="24"/>
        </w:rPr>
        <w:t>including the Lead Independent Director</w:t>
      </w:r>
      <w:r w:rsidR="00317D67">
        <w:rPr>
          <w:sz w:val="24"/>
        </w:rPr>
        <w:t xml:space="preserve"> (if any)</w:t>
      </w:r>
      <w:r w:rsidR="00D45F7E">
        <w:rPr>
          <w:sz w:val="24"/>
        </w:rPr>
        <w:t xml:space="preserve">, </w:t>
      </w:r>
      <w:r>
        <w:rPr>
          <w:sz w:val="24"/>
        </w:rPr>
        <w:t xml:space="preserve">evaluate the CEO’s performance in light of such goals and objectives and </w:t>
      </w:r>
      <w:r w:rsidR="00207955">
        <w:rPr>
          <w:sz w:val="24"/>
        </w:rPr>
        <w:t>determine and approve</w:t>
      </w:r>
      <w:r>
        <w:rPr>
          <w:sz w:val="24"/>
        </w:rPr>
        <w:t xml:space="preserve"> the CEO’s compensation based on such evaluation and such other factors as the Committee deems appropriate and in the best interests of the Company (including the cost to</w:t>
      </w:r>
      <w:r>
        <w:rPr>
          <w:spacing w:val="-20"/>
          <w:sz w:val="24"/>
        </w:rPr>
        <w:t xml:space="preserve"> </w:t>
      </w:r>
      <w:r>
        <w:rPr>
          <w:sz w:val="24"/>
        </w:rPr>
        <w:t>the Company of such</w:t>
      </w:r>
      <w:r>
        <w:rPr>
          <w:spacing w:val="-1"/>
          <w:sz w:val="24"/>
        </w:rPr>
        <w:t xml:space="preserve"> </w:t>
      </w:r>
      <w:r>
        <w:rPr>
          <w:sz w:val="24"/>
        </w:rPr>
        <w:t>compensation);</w:t>
      </w:r>
    </w:p>
    <w:p w14:paraId="7C3098DE" w14:textId="1C8DFD3B" w:rsidR="008A04CA" w:rsidRPr="008A04CA" w:rsidRDefault="007C6BF1" w:rsidP="00065079">
      <w:pPr>
        <w:pStyle w:val="ListParagraph"/>
        <w:numPr>
          <w:ilvl w:val="1"/>
          <w:numId w:val="2"/>
        </w:numPr>
        <w:tabs>
          <w:tab w:val="left" w:pos="1200"/>
        </w:tabs>
        <w:spacing w:before="120"/>
        <w:ind w:right="247"/>
        <w:rPr>
          <w:sz w:val="24"/>
        </w:rPr>
      </w:pPr>
      <w:r>
        <w:rPr>
          <w:sz w:val="24"/>
        </w:rPr>
        <w:t xml:space="preserve">if the Chair of the Board is </w:t>
      </w:r>
      <w:r w:rsidR="00207955">
        <w:rPr>
          <w:sz w:val="24"/>
        </w:rPr>
        <w:t>neither a Section 16 Officer nor the CEO, in consultation</w:t>
      </w:r>
      <w:r>
        <w:rPr>
          <w:sz w:val="24"/>
        </w:rPr>
        <w:t xml:space="preserve"> with the other independent directors of the Company, including the Lead Independent Director</w:t>
      </w:r>
      <w:r w:rsidR="00317D67">
        <w:rPr>
          <w:sz w:val="24"/>
        </w:rPr>
        <w:t xml:space="preserve"> (if any)</w:t>
      </w:r>
      <w:r>
        <w:rPr>
          <w:sz w:val="24"/>
        </w:rPr>
        <w:t xml:space="preserve">, evaluate the Chair of the Board’s performance in light of </w:t>
      </w:r>
      <w:r w:rsidR="006651F3">
        <w:rPr>
          <w:sz w:val="24"/>
        </w:rPr>
        <w:t>such</w:t>
      </w:r>
      <w:r>
        <w:rPr>
          <w:sz w:val="24"/>
        </w:rPr>
        <w:t xml:space="preserve"> goals and objectives and </w:t>
      </w:r>
      <w:r w:rsidR="00207955">
        <w:rPr>
          <w:sz w:val="24"/>
        </w:rPr>
        <w:t>determine and approve</w:t>
      </w:r>
      <w:r>
        <w:rPr>
          <w:sz w:val="24"/>
        </w:rPr>
        <w:t xml:space="preserve"> the Chair of the Board’s compensation based on such evaluation and such other factors as the </w:t>
      </w:r>
      <w:r>
        <w:rPr>
          <w:sz w:val="24"/>
        </w:rPr>
        <w:lastRenderedPageBreak/>
        <w:t>Committee deems appropriate and in the best interests of the Company (including the cost to</w:t>
      </w:r>
      <w:r>
        <w:rPr>
          <w:spacing w:val="-20"/>
          <w:sz w:val="24"/>
        </w:rPr>
        <w:t xml:space="preserve"> </w:t>
      </w:r>
      <w:r>
        <w:rPr>
          <w:sz w:val="24"/>
        </w:rPr>
        <w:t>the Company of such</w:t>
      </w:r>
      <w:r>
        <w:rPr>
          <w:spacing w:val="-1"/>
          <w:sz w:val="24"/>
        </w:rPr>
        <w:t xml:space="preserve"> </w:t>
      </w:r>
      <w:r>
        <w:rPr>
          <w:sz w:val="24"/>
        </w:rPr>
        <w:t>compensation);</w:t>
      </w:r>
    </w:p>
    <w:p w14:paraId="7C3098DF" w14:textId="1C37BD7A" w:rsidR="00DC1565" w:rsidRDefault="007C6BF1" w:rsidP="00065079">
      <w:pPr>
        <w:pStyle w:val="ListParagraph"/>
        <w:numPr>
          <w:ilvl w:val="1"/>
          <w:numId w:val="2"/>
        </w:numPr>
        <w:tabs>
          <w:tab w:val="left" w:pos="1200"/>
        </w:tabs>
        <w:spacing w:before="120"/>
        <w:ind w:right="335"/>
        <w:rPr>
          <w:sz w:val="24"/>
        </w:rPr>
      </w:pPr>
      <w:r>
        <w:rPr>
          <w:sz w:val="24"/>
        </w:rPr>
        <w:t xml:space="preserve">evaluate each </w:t>
      </w:r>
      <w:r w:rsidR="00207955">
        <w:rPr>
          <w:sz w:val="24"/>
        </w:rPr>
        <w:t>D</w:t>
      </w:r>
      <w:r>
        <w:rPr>
          <w:sz w:val="24"/>
        </w:rPr>
        <w:t xml:space="preserve">esignated </w:t>
      </w:r>
      <w:r w:rsidR="00207955">
        <w:rPr>
          <w:sz w:val="24"/>
        </w:rPr>
        <w:t>O</w:t>
      </w:r>
      <w:r>
        <w:rPr>
          <w:sz w:val="24"/>
        </w:rPr>
        <w:t xml:space="preserve">fficer’s performance </w:t>
      </w:r>
      <w:proofErr w:type="gramStart"/>
      <w:r>
        <w:rPr>
          <w:sz w:val="24"/>
        </w:rPr>
        <w:t>in light of</w:t>
      </w:r>
      <w:proofErr w:type="gramEnd"/>
      <w:r>
        <w:rPr>
          <w:sz w:val="24"/>
        </w:rPr>
        <w:t xml:space="preserve"> </w:t>
      </w:r>
      <w:r w:rsidR="00207955">
        <w:rPr>
          <w:sz w:val="24"/>
        </w:rPr>
        <w:t>applicable</w:t>
      </w:r>
      <w:r>
        <w:rPr>
          <w:sz w:val="24"/>
        </w:rPr>
        <w:t xml:space="preserve"> goals and</w:t>
      </w:r>
      <w:r>
        <w:rPr>
          <w:spacing w:val="-26"/>
          <w:sz w:val="24"/>
        </w:rPr>
        <w:t xml:space="preserve"> </w:t>
      </w:r>
      <w:r>
        <w:rPr>
          <w:sz w:val="24"/>
        </w:rPr>
        <w:t xml:space="preserve">objectives and set each </w:t>
      </w:r>
      <w:r w:rsidR="006651F3">
        <w:rPr>
          <w:sz w:val="24"/>
        </w:rPr>
        <w:t>D</w:t>
      </w:r>
      <w:r>
        <w:rPr>
          <w:sz w:val="24"/>
        </w:rPr>
        <w:t xml:space="preserve">esignated </w:t>
      </w:r>
      <w:r w:rsidR="006651F3">
        <w:rPr>
          <w:sz w:val="24"/>
        </w:rPr>
        <w:t>O</w:t>
      </w:r>
      <w:r>
        <w:rPr>
          <w:sz w:val="24"/>
        </w:rPr>
        <w:t>fficer’s compensation based on such evaluation and such other factors as the Committee deems appropriate and in the best interests of the Company (including the cost to the Company of such</w:t>
      </w:r>
      <w:r>
        <w:rPr>
          <w:spacing w:val="-6"/>
          <w:sz w:val="24"/>
        </w:rPr>
        <w:t xml:space="preserve"> </w:t>
      </w:r>
      <w:r>
        <w:rPr>
          <w:sz w:val="24"/>
        </w:rPr>
        <w:t>compensation</w:t>
      </w:r>
      <w:proofErr w:type="gramStart"/>
      <w:r>
        <w:rPr>
          <w:sz w:val="24"/>
        </w:rPr>
        <w:t>);</w:t>
      </w:r>
      <w:proofErr w:type="gramEnd"/>
    </w:p>
    <w:p w14:paraId="7C3098E0" w14:textId="44ED6F5C" w:rsidR="00DC1565" w:rsidRPr="00CF077D" w:rsidRDefault="007C6BF1" w:rsidP="00065079">
      <w:pPr>
        <w:pStyle w:val="ListParagraph"/>
        <w:numPr>
          <w:ilvl w:val="1"/>
          <w:numId w:val="2"/>
        </w:numPr>
        <w:tabs>
          <w:tab w:val="left" w:pos="1200"/>
        </w:tabs>
        <w:spacing w:before="120"/>
        <w:ind w:right="167"/>
        <w:rPr>
          <w:sz w:val="24"/>
          <w:szCs w:val="24"/>
        </w:rPr>
      </w:pPr>
      <w:r>
        <w:rPr>
          <w:sz w:val="24"/>
        </w:rPr>
        <w:t>in co</w:t>
      </w:r>
      <w:r w:rsidR="006651F3">
        <w:rPr>
          <w:sz w:val="24"/>
        </w:rPr>
        <w:t>nsult</w:t>
      </w:r>
      <w:r>
        <w:rPr>
          <w:sz w:val="24"/>
        </w:rPr>
        <w:t xml:space="preserve">ation with the </w:t>
      </w:r>
      <w:r w:rsidR="00E06E6F">
        <w:rPr>
          <w:sz w:val="24"/>
        </w:rPr>
        <w:t xml:space="preserve">other </w:t>
      </w:r>
      <w:r>
        <w:rPr>
          <w:sz w:val="24"/>
        </w:rPr>
        <w:t xml:space="preserve">independent directors of the Company, </w:t>
      </w:r>
      <w:r w:rsidR="00E06E6F">
        <w:rPr>
          <w:sz w:val="24"/>
        </w:rPr>
        <w:t xml:space="preserve">including the Lead Independent Director (if any), </w:t>
      </w:r>
      <w:r>
        <w:rPr>
          <w:sz w:val="24"/>
        </w:rPr>
        <w:t xml:space="preserve">determine any long- term incentive component of the CEO’s compensation taking into account awards given to the CEO in past years, the Company’s performance, </w:t>
      </w:r>
      <w:r w:rsidR="006651F3">
        <w:rPr>
          <w:sz w:val="24"/>
        </w:rPr>
        <w:t xml:space="preserve">relative </w:t>
      </w:r>
      <w:r>
        <w:rPr>
          <w:sz w:val="24"/>
        </w:rPr>
        <w:t xml:space="preserve">shareholder return, the value of similar incentive awards at comparable companies </w:t>
      </w:r>
      <w:r w:rsidR="006651F3">
        <w:rPr>
          <w:sz w:val="24"/>
        </w:rPr>
        <w:t xml:space="preserve">(including, but not limited to, the Company’s peer group), </w:t>
      </w:r>
      <w:r>
        <w:rPr>
          <w:sz w:val="24"/>
        </w:rPr>
        <w:t>and such other factors as the Committee deems appropriate and in the best interests of the Company</w:t>
      </w:r>
      <w:r>
        <w:rPr>
          <w:spacing w:val="-22"/>
          <w:sz w:val="24"/>
        </w:rPr>
        <w:t xml:space="preserve"> </w:t>
      </w:r>
      <w:r>
        <w:rPr>
          <w:sz w:val="24"/>
        </w:rPr>
        <w:t>(including the cost to the Company of such</w:t>
      </w:r>
      <w:r>
        <w:rPr>
          <w:spacing w:val="-3"/>
          <w:sz w:val="24"/>
        </w:rPr>
        <w:t xml:space="preserve"> </w:t>
      </w:r>
      <w:r>
        <w:rPr>
          <w:sz w:val="24"/>
        </w:rPr>
        <w:t>compensation</w:t>
      </w:r>
      <w:r w:rsidRPr="00CF077D">
        <w:rPr>
          <w:sz w:val="24"/>
          <w:szCs w:val="24"/>
        </w:rPr>
        <w:t>);</w:t>
      </w:r>
    </w:p>
    <w:p w14:paraId="7C3098E1" w14:textId="63D5F31D" w:rsidR="00DC1565" w:rsidRPr="00CF077D" w:rsidRDefault="007C6BF1" w:rsidP="00065079">
      <w:pPr>
        <w:pStyle w:val="ListParagraph"/>
        <w:numPr>
          <w:ilvl w:val="1"/>
          <w:numId w:val="2"/>
        </w:numPr>
        <w:tabs>
          <w:tab w:val="left" w:pos="1200"/>
        </w:tabs>
        <w:spacing w:before="120"/>
        <w:ind w:right="240"/>
        <w:rPr>
          <w:sz w:val="24"/>
          <w:szCs w:val="24"/>
        </w:rPr>
      </w:pPr>
      <w:r w:rsidRPr="00CF077D">
        <w:rPr>
          <w:sz w:val="24"/>
          <w:szCs w:val="24"/>
        </w:rPr>
        <w:t xml:space="preserve">determine any long-term incentive component of each </w:t>
      </w:r>
      <w:r w:rsidR="006651F3">
        <w:rPr>
          <w:sz w:val="24"/>
          <w:szCs w:val="24"/>
        </w:rPr>
        <w:t>D</w:t>
      </w:r>
      <w:r w:rsidRPr="00CF077D">
        <w:rPr>
          <w:sz w:val="24"/>
          <w:szCs w:val="24"/>
        </w:rPr>
        <w:t xml:space="preserve">esignated </w:t>
      </w:r>
      <w:r w:rsidR="006651F3">
        <w:rPr>
          <w:sz w:val="24"/>
          <w:szCs w:val="24"/>
        </w:rPr>
        <w:t>O</w:t>
      </w:r>
      <w:r w:rsidRPr="00CF077D">
        <w:rPr>
          <w:sz w:val="24"/>
          <w:szCs w:val="24"/>
        </w:rPr>
        <w:t>fficer’s compensation based on awards given to such executive in past years, the</w:t>
      </w:r>
      <w:r w:rsidRPr="00CF077D">
        <w:rPr>
          <w:spacing w:val="-22"/>
          <w:sz w:val="24"/>
          <w:szCs w:val="24"/>
        </w:rPr>
        <w:t xml:space="preserve"> </w:t>
      </w:r>
      <w:r w:rsidRPr="00CF077D">
        <w:rPr>
          <w:sz w:val="24"/>
          <w:szCs w:val="24"/>
        </w:rPr>
        <w:t>Company’s</w:t>
      </w:r>
      <w:r w:rsidR="00622E7E" w:rsidRPr="00CF077D">
        <w:rPr>
          <w:sz w:val="24"/>
          <w:szCs w:val="24"/>
        </w:rPr>
        <w:t xml:space="preserve"> </w:t>
      </w:r>
      <w:r w:rsidRPr="00CF077D">
        <w:rPr>
          <w:sz w:val="24"/>
          <w:szCs w:val="24"/>
        </w:rPr>
        <w:t xml:space="preserve">performance, </w:t>
      </w:r>
      <w:r w:rsidR="006651F3">
        <w:rPr>
          <w:sz w:val="24"/>
          <w:szCs w:val="24"/>
        </w:rPr>
        <w:t xml:space="preserve">relative </w:t>
      </w:r>
      <w:r w:rsidRPr="00CF077D">
        <w:rPr>
          <w:sz w:val="24"/>
          <w:szCs w:val="24"/>
        </w:rPr>
        <w:t>shareholder return</w:t>
      </w:r>
      <w:r w:rsidR="006651F3">
        <w:rPr>
          <w:sz w:val="24"/>
          <w:szCs w:val="24"/>
        </w:rPr>
        <w:t>,</w:t>
      </w:r>
      <w:r w:rsidRPr="00CF077D">
        <w:rPr>
          <w:sz w:val="24"/>
          <w:szCs w:val="24"/>
        </w:rPr>
        <w:t xml:space="preserve"> the value of similar incentive awards relative to such targets at comparable companies </w:t>
      </w:r>
      <w:r w:rsidR="006651F3">
        <w:rPr>
          <w:sz w:val="24"/>
        </w:rPr>
        <w:t>(including, but not limited to, the Company’s peer group)</w:t>
      </w:r>
      <w:r w:rsidR="006651F3">
        <w:rPr>
          <w:sz w:val="24"/>
        </w:rPr>
        <w:t>,</w:t>
      </w:r>
      <w:r w:rsidR="006651F3">
        <w:rPr>
          <w:sz w:val="24"/>
        </w:rPr>
        <w:t xml:space="preserve"> </w:t>
      </w:r>
      <w:r w:rsidRPr="00CF077D">
        <w:rPr>
          <w:sz w:val="24"/>
          <w:szCs w:val="24"/>
        </w:rPr>
        <w:t>and such other factors as the Committee deems appropriate and in the best interests of the Company (including the cost to the Company of such compensation);</w:t>
      </w:r>
    </w:p>
    <w:p w14:paraId="7C3098E3" w14:textId="65C0FF53" w:rsidR="00DC1565" w:rsidRDefault="007C6BF1" w:rsidP="00065079">
      <w:pPr>
        <w:pStyle w:val="ListParagraph"/>
        <w:numPr>
          <w:ilvl w:val="1"/>
          <w:numId w:val="2"/>
        </w:numPr>
        <w:tabs>
          <w:tab w:val="left" w:pos="1200"/>
        </w:tabs>
        <w:spacing w:before="120"/>
        <w:ind w:right="127"/>
        <w:rPr>
          <w:sz w:val="24"/>
        </w:rPr>
      </w:pPr>
      <w:r w:rsidRPr="00CF077D">
        <w:rPr>
          <w:sz w:val="24"/>
          <w:szCs w:val="24"/>
        </w:rPr>
        <w:t xml:space="preserve">review external surveys and compensation studies to assess the competitiveness of compensation for </w:t>
      </w:r>
      <w:r w:rsidR="006651F3">
        <w:rPr>
          <w:sz w:val="24"/>
          <w:szCs w:val="24"/>
        </w:rPr>
        <w:t>the CEO and the Designated Officers</w:t>
      </w:r>
      <w:r w:rsidRPr="00CF077D">
        <w:rPr>
          <w:sz w:val="24"/>
          <w:szCs w:val="24"/>
        </w:rPr>
        <w:t>, including the identification of peer companies that should be used for purposes of determining</w:t>
      </w:r>
      <w:r>
        <w:rPr>
          <w:sz w:val="24"/>
        </w:rPr>
        <w:t xml:space="preserve"> competitive</w:t>
      </w:r>
      <w:r>
        <w:rPr>
          <w:spacing w:val="-22"/>
          <w:sz w:val="24"/>
        </w:rPr>
        <w:t xml:space="preserve"> </w:t>
      </w:r>
      <w:r>
        <w:rPr>
          <w:sz w:val="24"/>
        </w:rPr>
        <w:t xml:space="preserve">compensation packages for </w:t>
      </w:r>
      <w:r w:rsidR="006651F3">
        <w:rPr>
          <w:sz w:val="24"/>
          <w:szCs w:val="24"/>
        </w:rPr>
        <w:t>the CEO and the Designated Officers</w:t>
      </w:r>
      <w:r>
        <w:rPr>
          <w:sz w:val="24"/>
        </w:rPr>
        <w:t>;</w:t>
      </w:r>
      <w:r>
        <w:rPr>
          <w:spacing w:val="-2"/>
          <w:sz w:val="24"/>
        </w:rPr>
        <w:t xml:space="preserve"> </w:t>
      </w:r>
      <w:r>
        <w:rPr>
          <w:sz w:val="24"/>
        </w:rPr>
        <w:t>and</w:t>
      </w:r>
    </w:p>
    <w:p w14:paraId="7C3098E4" w14:textId="77777777" w:rsidR="00DC1565" w:rsidRDefault="007C6BF1" w:rsidP="00EE30AC">
      <w:pPr>
        <w:pStyle w:val="ListParagraph"/>
        <w:numPr>
          <w:ilvl w:val="1"/>
          <w:numId w:val="2"/>
        </w:numPr>
        <w:tabs>
          <w:tab w:val="left" w:pos="1200"/>
        </w:tabs>
        <w:spacing w:before="120"/>
        <w:ind w:left="1195" w:right="1368"/>
        <w:rPr>
          <w:sz w:val="24"/>
        </w:rPr>
      </w:pPr>
      <w:r>
        <w:rPr>
          <w:sz w:val="24"/>
        </w:rPr>
        <w:t>to the extent applicable, certify that performance goals and objectives</w:t>
      </w:r>
      <w:r>
        <w:rPr>
          <w:spacing w:val="-25"/>
          <w:sz w:val="24"/>
        </w:rPr>
        <w:t xml:space="preserve"> </w:t>
      </w:r>
      <w:r>
        <w:rPr>
          <w:sz w:val="24"/>
        </w:rPr>
        <w:t>for performance-based compensation have been</w:t>
      </w:r>
      <w:r>
        <w:rPr>
          <w:spacing w:val="-3"/>
          <w:sz w:val="24"/>
        </w:rPr>
        <w:t xml:space="preserve"> </w:t>
      </w:r>
      <w:r>
        <w:rPr>
          <w:sz w:val="24"/>
        </w:rPr>
        <w:t>satisfied.</w:t>
      </w:r>
    </w:p>
    <w:p w14:paraId="7C3098E5" w14:textId="01AA52EE" w:rsidR="00DC1565" w:rsidRDefault="006651F3" w:rsidP="00065079">
      <w:pPr>
        <w:spacing w:before="120"/>
        <w:ind w:left="105"/>
        <w:rPr>
          <w:i/>
          <w:sz w:val="24"/>
        </w:rPr>
      </w:pPr>
      <w:r>
        <w:rPr>
          <w:i/>
          <w:sz w:val="24"/>
        </w:rPr>
        <w:t xml:space="preserve">Non-Employee </w:t>
      </w:r>
      <w:r w:rsidR="007C6BF1">
        <w:rPr>
          <w:i/>
          <w:sz w:val="24"/>
        </w:rPr>
        <w:t>Director Compensation</w:t>
      </w:r>
    </w:p>
    <w:p w14:paraId="7C3098E6" w14:textId="51501B42" w:rsidR="00DC1565" w:rsidRDefault="007C6BF1" w:rsidP="00065079">
      <w:pPr>
        <w:pStyle w:val="BodyText"/>
        <w:spacing w:before="120"/>
        <w:ind w:right="575" w:firstLine="710"/>
        <w:jc w:val="both"/>
      </w:pPr>
      <w:r>
        <w:t xml:space="preserve">The Committee shall review the </w:t>
      </w:r>
      <w:r w:rsidR="006651F3">
        <w:t xml:space="preserve">form and amount of </w:t>
      </w:r>
      <w:r>
        <w:t xml:space="preserve">compensation arrangements (including equity-based compensation) for the Company’s </w:t>
      </w:r>
      <w:r w:rsidR="006651F3">
        <w:t xml:space="preserve">non-employee </w:t>
      </w:r>
      <w:r>
        <w:t xml:space="preserve">directors. Changes in </w:t>
      </w:r>
      <w:r w:rsidR="006651F3">
        <w:t xml:space="preserve">non-employee </w:t>
      </w:r>
      <w:proofErr w:type="gramStart"/>
      <w:r w:rsidR="006651F3">
        <w:t>director</w:t>
      </w:r>
      <w:proofErr w:type="gramEnd"/>
      <w:r>
        <w:t xml:space="preserve"> compensation, if any, should </w:t>
      </w:r>
      <w:r w:rsidR="006651F3">
        <w:t>be made</w:t>
      </w:r>
      <w:r>
        <w:t xml:space="preserve"> </w:t>
      </w:r>
      <w:proofErr w:type="gramStart"/>
      <w:r>
        <w:t>at</w:t>
      </w:r>
      <w:proofErr w:type="gramEnd"/>
      <w:r>
        <w:t xml:space="preserve"> the recommendation of the Committee, with full discussion and approval by the Board.</w:t>
      </w:r>
    </w:p>
    <w:p w14:paraId="7C3098E7" w14:textId="77777777" w:rsidR="00DC1565" w:rsidRDefault="007C6BF1" w:rsidP="00065079">
      <w:pPr>
        <w:spacing w:before="120"/>
        <w:ind w:left="105"/>
        <w:rPr>
          <w:i/>
          <w:sz w:val="24"/>
        </w:rPr>
      </w:pPr>
      <w:r>
        <w:rPr>
          <w:i/>
          <w:sz w:val="24"/>
        </w:rPr>
        <w:t>Stock Ownership Guidelines</w:t>
      </w:r>
    </w:p>
    <w:p w14:paraId="7C3098E8" w14:textId="22BAC881" w:rsidR="00DC1565" w:rsidRDefault="007C6BF1" w:rsidP="00065079">
      <w:pPr>
        <w:pStyle w:val="BodyText"/>
        <w:spacing w:before="120"/>
        <w:ind w:left="122" w:right="246" w:firstLine="710"/>
      </w:pPr>
      <w:r>
        <w:t>The Committee shall review, at least annually, compliance with the Company’s stock ownership guidelines by the Company’s</w:t>
      </w:r>
      <w:r w:rsidR="006651F3">
        <w:t xml:space="preserve"> non-employee</w:t>
      </w:r>
      <w:r>
        <w:t xml:space="preserve"> directors</w:t>
      </w:r>
      <w:r w:rsidR="006651F3">
        <w:t>, CEO and Section 16 O</w:t>
      </w:r>
      <w:r>
        <w:t xml:space="preserve">fficers, and shall review the Company’s stock ownership guidelines from time to time as the Committee deems necessary or </w:t>
      </w:r>
      <w:proofErr w:type="gramStart"/>
      <w:r>
        <w:t>appropriate, and</w:t>
      </w:r>
      <w:proofErr w:type="gramEnd"/>
      <w:r>
        <w:t xml:space="preserve"> recommend any proposed changes to the Board.</w:t>
      </w:r>
    </w:p>
    <w:p w14:paraId="7C3098E9" w14:textId="77777777" w:rsidR="00DC1565" w:rsidRDefault="007C6BF1" w:rsidP="00065079">
      <w:pPr>
        <w:spacing w:before="120"/>
        <w:ind w:left="105"/>
        <w:rPr>
          <w:i/>
          <w:sz w:val="24"/>
        </w:rPr>
      </w:pPr>
      <w:r>
        <w:rPr>
          <w:i/>
          <w:sz w:val="24"/>
        </w:rPr>
        <w:t>Say on Pay Votes</w:t>
      </w:r>
    </w:p>
    <w:p w14:paraId="7C3098EA" w14:textId="77777777" w:rsidR="00DC1565" w:rsidRDefault="007C6BF1" w:rsidP="00065079">
      <w:pPr>
        <w:pStyle w:val="BodyText"/>
        <w:spacing w:before="120"/>
        <w:ind w:left="122" w:right="140" w:firstLine="710"/>
      </w:pPr>
      <w:r>
        <w:t>The Committee shall review the results of the Company’s advisory stockholder votes on executive compensation (“Say on Pay Votes”) and the frequency of Say on Pay Votes, as well as the results of other Company stockholder votes with respect to compensation-related matters, to determine any appropriate response, outreach, disclosure or other action.</w:t>
      </w:r>
    </w:p>
    <w:p w14:paraId="7C3098EB" w14:textId="77777777" w:rsidR="00DC1565" w:rsidRDefault="007C6BF1" w:rsidP="00065079">
      <w:pPr>
        <w:spacing w:before="120"/>
        <w:ind w:left="120"/>
        <w:rPr>
          <w:i/>
          <w:sz w:val="24"/>
        </w:rPr>
      </w:pPr>
      <w:r>
        <w:rPr>
          <w:i/>
          <w:sz w:val="24"/>
        </w:rPr>
        <w:lastRenderedPageBreak/>
        <w:t>Human Capital</w:t>
      </w:r>
      <w:r>
        <w:rPr>
          <w:i/>
          <w:spacing w:val="-4"/>
          <w:sz w:val="24"/>
        </w:rPr>
        <w:t xml:space="preserve"> </w:t>
      </w:r>
      <w:r>
        <w:rPr>
          <w:i/>
          <w:sz w:val="24"/>
        </w:rPr>
        <w:t>Management</w:t>
      </w:r>
    </w:p>
    <w:p w14:paraId="7C3098EC" w14:textId="1ED4B6F9" w:rsidR="00DC1565" w:rsidRDefault="007C6BF1" w:rsidP="00065079">
      <w:pPr>
        <w:pStyle w:val="BodyText"/>
        <w:spacing w:before="120"/>
        <w:ind w:left="120" w:right="129" w:firstLine="720"/>
      </w:pPr>
      <w:r>
        <w:t>The Committee shall review and discuss with management or other committees of the Board the Company’s strategies, initiatives and programs relating to human capital management, including with respect to attracting, developing, retaining and motivating management and employees, employee relations and workplace safety and</w:t>
      </w:r>
      <w:r>
        <w:rPr>
          <w:spacing w:val="-2"/>
        </w:rPr>
        <w:t xml:space="preserve"> </w:t>
      </w:r>
      <w:r>
        <w:t>culture.</w:t>
      </w:r>
    </w:p>
    <w:p w14:paraId="7C3098ED" w14:textId="77777777" w:rsidR="00DC1565" w:rsidRDefault="007C6BF1" w:rsidP="00065079">
      <w:pPr>
        <w:spacing w:before="120"/>
        <w:ind w:left="105"/>
        <w:rPr>
          <w:i/>
          <w:sz w:val="24"/>
        </w:rPr>
      </w:pPr>
      <w:r>
        <w:rPr>
          <w:i/>
          <w:sz w:val="24"/>
        </w:rPr>
        <w:t>Disclosure</w:t>
      </w:r>
    </w:p>
    <w:p w14:paraId="7C3098EE" w14:textId="617C40CD" w:rsidR="00956A2E" w:rsidRDefault="007C6BF1" w:rsidP="00065079">
      <w:pPr>
        <w:pStyle w:val="BodyText"/>
        <w:spacing w:before="120"/>
        <w:ind w:right="126" w:firstLine="710"/>
      </w:pPr>
      <w:r>
        <w:t>The Committee shall prepare the Compensation Committee Report required by SEC rules to be included in the Company’s annual proxy statement or Annual Report on Form 10-K. The Committee shall review and discuss the Company’s Compensation Discussion and Analysis as required by SEC rules (“CD&amp;A”) with management and provide a recommendation to the Board regarding the inclusion of the CD&amp;A within the Company’s proxy statement or Annual Report on Form 10-K.</w:t>
      </w:r>
    </w:p>
    <w:p w14:paraId="7C3098EF" w14:textId="77777777" w:rsidR="00DC1565" w:rsidRDefault="007C6BF1" w:rsidP="00065079">
      <w:pPr>
        <w:spacing w:before="120"/>
        <w:ind w:left="105"/>
        <w:rPr>
          <w:i/>
          <w:sz w:val="24"/>
        </w:rPr>
      </w:pPr>
      <w:r>
        <w:rPr>
          <w:i/>
          <w:sz w:val="24"/>
        </w:rPr>
        <w:t>Risk Assessment</w:t>
      </w:r>
    </w:p>
    <w:p w14:paraId="7C3098F0" w14:textId="6BF76070" w:rsidR="00DC1565" w:rsidRDefault="007C6BF1" w:rsidP="00065079">
      <w:pPr>
        <w:pStyle w:val="BodyText"/>
        <w:spacing w:before="120"/>
        <w:ind w:right="198" w:firstLine="710"/>
      </w:pPr>
      <w:r>
        <w:t>The Committee shall review and assess</w:t>
      </w:r>
      <w:r w:rsidR="006651F3">
        <w:t>, on an annual basis,</w:t>
      </w:r>
      <w:r>
        <w:t xml:space="preserve"> risks arising from the Company’s compensation policies and practices for its employees and whether any such risks are reasonably likely to have a material adverse effect on the Company.</w:t>
      </w:r>
    </w:p>
    <w:p w14:paraId="7C3098F1" w14:textId="77777777" w:rsidR="00DC1565" w:rsidRDefault="007C6BF1" w:rsidP="00065079">
      <w:pPr>
        <w:keepNext/>
        <w:keepLines/>
        <w:widowControl/>
        <w:spacing w:before="120"/>
        <w:ind w:left="105"/>
        <w:rPr>
          <w:i/>
          <w:sz w:val="24"/>
        </w:rPr>
      </w:pPr>
      <w:r>
        <w:rPr>
          <w:i/>
          <w:sz w:val="24"/>
        </w:rPr>
        <w:t>Reporting to the Board</w:t>
      </w:r>
    </w:p>
    <w:p w14:paraId="7C3098F2" w14:textId="77777777" w:rsidR="00DC1565" w:rsidRDefault="007C6BF1" w:rsidP="00065079">
      <w:pPr>
        <w:pStyle w:val="ListParagraph"/>
        <w:keepNext/>
        <w:keepLines/>
        <w:widowControl/>
        <w:numPr>
          <w:ilvl w:val="0"/>
          <w:numId w:val="1"/>
        </w:numPr>
        <w:tabs>
          <w:tab w:val="left" w:pos="839"/>
          <w:tab w:val="left" w:pos="840"/>
        </w:tabs>
        <w:spacing w:before="120"/>
        <w:ind w:right="134" w:hanging="660"/>
        <w:rPr>
          <w:sz w:val="24"/>
        </w:rPr>
      </w:pPr>
      <w:r>
        <w:rPr>
          <w:sz w:val="24"/>
        </w:rPr>
        <w:t>The Committee shall report to the Board periodically and at least annually. These</w:t>
      </w:r>
      <w:r>
        <w:rPr>
          <w:spacing w:val="-24"/>
          <w:sz w:val="24"/>
        </w:rPr>
        <w:t xml:space="preserve"> </w:t>
      </w:r>
      <w:r>
        <w:rPr>
          <w:sz w:val="24"/>
        </w:rPr>
        <w:t>reports shall include a review of any recommendations or issues that arise with respect to Company compensation and benefits policies, executive compensation and any other matters that the Committee deems appropriate or is requested to be included by the Board. In addition, the Committee shall, in consultation with the other independent directors of the Company, evaluate and then present its evaluation of the performance of the senior management of the Company to the full</w:t>
      </w:r>
      <w:r>
        <w:rPr>
          <w:spacing w:val="-6"/>
          <w:sz w:val="24"/>
        </w:rPr>
        <w:t xml:space="preserve"> </w:t>
      </w:r>
      <w:r>
        <w:rPr>
          <w:sz w:val="24"/>
        </w:rPr>
        <w:t>Board.</w:t>
      </w:r>
    </w:p>
    <w:p w14:paraId="7C3098F3" w14:textId="77777777" w:rsidR="00DC1565" w:rsidRDefault="007C6BF1" w:rsidP="00065079">
      <w:pPr>
        <w:pStyle w:val="ListParagraph"/>
        <w:numPr>
          <w:ilvl w:val="0"/>
          <w:numId w:val="1"/>
        </w:numPr>
        <w:tabs>
          <w:tab w:val="left" w:pos="839"/>
          <w:tab w:val="left" w:pos="840"/>
        </w:tabs>
        <w:spacing w:before="120"/>
        <w:ind w:right="147" w:hanging="660"/>
        <w:rPr>
          <w:sz w:val="24"/>
        </w:rPr>
      </w:pPr>
      <w:r>
        <w:rPr>
          <w:sz w:val="24"/>
        </w:rPr>
        <w:t>At least annually, the Committee shall evaluate its own performance and the Chair of this Committee shall report to the Board on such</w:t>
      </w:r>
      <w:r>
        <w:rPr>
          <w:spacing w:val="-4"/>
          <w:sz w:val="24"/>
        </w:rPr>
        <w:t xml:space="preserve"> </w:t>
      </w:r>
      <w:r>
        <w:rPr>
          <w:sz w:val="24"/>
        </w:rPr>
        <w:t>evaluation.</w:t>
      </w:r>
    </w:p>
    <w:p w14:paraId="7C3098F4" w14:textId="77777777" w:rsidR="00DC1565" w:rsidRDefault="007C6BF1" w:rsidP="00065079">
      <w:pPr>
        <w:pStyle w:val="ListParagraph"/>
        <w:numPr>
          <w:ilvl w:val="0"/>
          <w:numId w:val="1"/>
        </w:numPr>
        <w:tabs>
          <w:tab w:val="left" w:pos="839"/>
          <w:tab w:val="left" w:pos="840"/>
        </w:tabs>
        <w:spacing w:before="120"/>
        <w:ind w:right="634" w:hanging="660"/>
        <w:rPr>
          <w:sz w:val="24"/>
        </w:rPr>
      </w:pPr>
      <w:r>
        <w:rPr>
          <w:sz w:val="24"/>
        </w:rPr>
        <w:t>The Committee shall periodically review and assess the adequacy of this charter and recommend any proposed changes to the Board for</w:t>
      </w:r>
      <w:r>
        <w:rPr>
          <w:spacing w:val="-4"/>
          <w:sz w:val="24"/>
        </w:rPr>
        <w:t xml:space="preserve"> </w:t>
      </w:r>
      <w:r>
        <w:rPr>
          <w:sz w:val="24"/>
        </w:rPr>
        <w:t>approval.</w:t>
      </w:r>
    </w:p>
    <w:sectPr w:rsidR="00DC1565" w:rsidSect="00364E41">
      <w:footerReference w:type="default" r:id="rId7"/>
      <w:pgSz w:w="12240" w:h="15840"/>
      <w:pgMar w:top="1380" w:right="1340" w:bottom="860" w:left="1320" w:header="0" w:footer="6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3B4A" w14:textId="77777777" w:rsidR="00AB454B" w:rsidRDefault="00AB454B">
      <w:r>
        <w:separator/>
      </w:r>
    </w:p>
  </w:endnote>
  <w:endnote w:type="continuationSeparator" w:id="0">
    <w:p w14:paraId="1C24B07C" w14:textId="77777777" w:rsidR="00AB454B" w:rsidRDefault="00AB454B">
      <w:r>
        <w:continuationSeparator/>
      </w:r>
    </w:p>
  </w:endnote>
  <w:endnote w:type="continuationNotice" w:id="1">
    <w:p w14:paraId="1AB549CB" w14:textId="77777777" w:rsidR="00AB454B" w:rsidRDefault="00AB4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53452"/>
      <w:docPartObj>
        <w:docPartGallery w:val="Page Numbers (Bottom of Page)"/>
        <w:docPartUnique/>
      </w:docPartObj>
    </w:sdtPr>
    <w:sdtEndPr>
      <w:rPr>
        <w:noProof/>
      </w:rPr>
    </w:sdtEndPr>
    <w:sdtContent>
      <w:p w14:paraId="3F45E190" w14:textId="1CDCB484" w:rsidR="006651F3" w:rsidRDefault="006651F3" w:rsidP="00665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FF38" w14:textId="77777777" w:rsidR="00AB454B" w:rsidRDefault="00AB454B">
      <w:r>
        <w:separator/>
      </w:r>
    </w:p>
  </w:footnote>
  <w:footnote w:type="continuationSeparator" w:id="0">
    <w:p w14:paraId="3DDEEC92" w14:textId="77777777" w:rsidR="00AB454B" w:rsidRDefault="00AB454B">
      <w:r>
        <w:continuationSeparator/>
      </w:r>
    </w:p>
  </w:footnote>
  <w:footnote w:type="continuationNotice" w:id="1">
    <w:p w14:paraId="5BD939D4" w14:textId="77777777" w:rsidR="00AB454B" w:rsidRDefault="00AB45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E3D"/>
    <w:multiLevelType w:val="hybridMultilevel"/>
    <w:tmpl w:val="5B0AF8EE"/>
    <w:lvl w:ilvl="0" w:tplc="B8587E10">
      <w:numFmt w:val="bullet"/>
      <w:lvlText w:val="•"/>
      <w:lvlJc w:val="left"/>
      <w:pPr>
        <w:ind w:left="840" w:hanging="720"/>
      </w:pPr>
      <w:rPr>
        <w:rFonts w:ascii="Times New Roman" w:eastAsia="Times New Roman" w:hAnsi="Times New Roman" w:cs="Times New Roman" w:hint="default"/>
        <w:spacing w:val="-1"/>
        <w:w w:val="100"/>
        <w:sz w:val="24"/>
        <w:szCs w:val="24"/>
      </w:rPr>
    </w:lvl>
    <w:lvl w:ilvl="1" w:tplc="9E46799A">
      <w:numFmt w:val="bullet"/>
      <w:lvlText w:val="o"/>
      <w:lvlJc w:val="left"/>
      <w:pPr>
        <w:ind w:left="1200" w:hanging="360"/>
      </w:pPr>
      <w:rPr>
        <w:rFonts w:ascii="Courier New" w:eastAsia="Courier New" w:hAnsi="Courier New" w:cs="Courier New" w:hint="default"/>
        <w:w w:val="100"/>
        <w:sz w:val="24"/>
        <w:szCs w:val="24"/>
      </w:rPr>
    </w:lvl>
    <w:lvl w:ilvl="2" w:tplc="982C72E8">
      <w:numFmt w:val="bullet"/>
      <w:lvlText w:val="•"/>
      <w:lvlJc w:val="left"/>
      <w:pPr>
        <w:ind w:left="2131" w:hanging="360"/>
      </w:pPr>
      <w:rPr>
        <w:rFonts w:hint="default"/>
      </w:rPr>
    </w:lvl>
    <w:lvl w:ilvl="3" w:tplc="8B863A70">
      <w:numFmt w:val="bullet"/>
      <w:lvlText w:val="•"/>
      <w:lvlJc w:val="left"/>
      <w:pPr>
        <w:ind w:left="3062" w:hanging="360"/>
      </w:pPr>
      <w:rPr>
        <w:rFonts w:hint="default"/>
      </w:rPr>
    </w:lvl>
    <w:lvl w:ilvl="4" w:tplc="64905804">
      <w:numFmt w:val="bullet"/>
      <w:lvlText w:val="•"/>
      <w:lvlJc w:val="left"/>
      <w:pPr>
        <w:ind w:left="3993" w:hanging="360"/>
      </w:pPr>
      <w:rPr>
        <w:rFonts w:hint="default"/>
      </w:rPr>
    </w:lvl>
    <w:lvl w:ilvl="5" w:tplc="EB8C0FAA">
      <w:numFmt w:val="bullet"/>
      <w:lvlText w:val="•"/>
      <w:lvlJc w:val="left"/>
      <w:pPr>
        <w:ind w:left="4924" w:hanging="360"/>
      </w:pPr>
      <w:rPr>
        <w:rFonts w:hint="default"/>
      </w:rPr>
    </w:lvl>
    <w:lvl w:ilvl="6" w:tplc="62826CD2">
      <w:numFmt w:val="bullet"/>
      <w:lvlText w:val="•"/>
      <w:lvlJc w:val="left"/>
      <w:pPr>
        <w:ind w:left="5855" w:hanging="360"/>
      </w:pPr>
      <w:rPr>
        <w:rFonts w:hint="default"/>
      </w:rPr>
    </w:lvl>
    <w:lvl w:ilvl="7" w:tplc="1E389216">
      <w:numFmt w:val="bullet"/>
      <w:lvlText w:val="•"/>
      <w:lvlJc w:val="left"/>
      <w:pPr>
        <w:ind w:left="6786" w:hanging="360"/>
      </w:pPr>
      <w:rPr>
        <w:rFonts w:hint="default"/>
      </w:rPr>
    </w:lvl>
    <w:lvl w:ilvl="8" w:tplc="E926E110">
      <w:numFmt w:val="bullet"/>
      <w:lvlText w:val="•"/>
      <w:lvlJc w:val="left"/>
      <w:pPr>
        <w:ind w:left="7717" w:hanging="360"/>
      </w:pPr>
      <w:rPr>
        <w:rFonts w:hint="default"/>
      </w:rPr>
    </w:lvl>
  </w:abstractNum>
  <w:abstractNum w:abstractNumId="1" w15:restartNumberingAfterBreak="0">
    <w:nsid w:val="6A004632"/>
    <w:multiLevelType w:val="hybridMultilevel"/>
    <w:tmpl w:val="41CA4296"/>
    <w:lvl w:ilvl="0" w:tplc="F1FE63BC">
      <w:numFmt w:val="bullet"/>
      <w:lvlText w:val="•"/>
      <w:lvlJc w:val="left"/>
      <w:pPr>
        <w:ind w:left="840" w:hanging="720"/>
      </w:pPr>
      <w:rPr>
        <w:rFonts w:ascii="Arial" w:eastAsia="Arial" w:hAnsi="Arial" w:cs="Arial" w:hint="default"/>
        <w:spacing w:val="-1"/>
        <w:w w:val="100"/>
        <w:sz w:val="24"/>
        <w:szCs w:val="24"/>
      </w:rPr>
    </w:lvl>
    <w:lvl w:ilvl="1" w:tplc="B3124834">
      <w:numFmt w:val="bullet"/>
      <w:lvlText w:val="•"/>
      <w:lvlJc w:val="left"/>
      <w:pPr>
        <w:ind w:left="1714" w:hanging="720"/>
      </w:pPr>
      <w:rPr>
        <w:rFonts w:hint="default"/>
      </w:rPr>
    </w:lvl>
    <w:lvl w:ilvl="2" w:tplc="5A92283C">
      <w:numFmt w:val="bullet"/>
      <w:lvlText w:val="•"/>
      <w:lvlJc w:val="left"/>
      <w:pPr>
        <w:ind w:left="2588" w:hanging="720"/>
      </w:pPr>
      <w:rPr>
        <w:rFonts w:hint="default"/>
      </w:rPr>
    </w:lvl>
    <w:lvl w:ilvl="3" w:tplc="0D04A340">
      <w:numFmt w:val="bullet"/>
      <w:lvlText w:val="•"/>
      <w:lvlJc w:val="left"/>
      <w:pPr>
        <w:ind w:left="3462" w:hanging="720"/>
      </w:pPr>
      <w:rPr>
        <w:rFonts w:hint="default"/>
      </w:rPr>
    </w:lvl>
    <w:lvl w:ilvl="4" w:tplc="77A4717C">
      <w:numFmt w:val="bullet"/>
      <w:lvlText w:val="•"/>
      <w:lvlJc w:val="left"/>
      <w:pPr>
        <w:ind w:left="4336" w:hanging="720"/>
      </w:pPr>
      <w:rPr>
        <w:rFonts w:hint="default"/>
      </w:rPr>
    </w:lvl>
    <w:lvl w:ilvl="5" w:tplc="1D5E2180">
      <w:numFmt w:val="bullet"/>
      <w:lvlText w:val="•"/>
      <w:lvlJc w:val="left"/>
      <w:pPr>
        <w:ind w:left="5210" w:hanging="720"/>
      </w:pPr>
      <w:rPr>
        <w:rFonts w:hint="default"/>
      </w:rPr>
    </w:lvl>
    <w:lvl w:ilvl="6" w:tplc="8E04DA7E">
      <w:numFmt w:val="bullet"/>
      <w:lvlText w:val="•"/>
      <w:lvlJc w:val="left"/>
      <w:pPr>
        <w:ind w:left="6084" w:hanging="720"/>
      </w:pPr>
      <w:rPr>
        <w:rFonts w:hint="default"/>
      </w:rPr>
    </w:lvl>
    <w:lvl w:ilvl="7" w:tplc="B9068DDA">
      <w:numFmt w:val="bullet"/>
      <w:lvlText w:val="•"/>
      <w:lvlJc w:val="left"/>
      <w:pPr>
        <w:ind w:left="6958" w:hanging="720"/>
      </w:pPr>
      <w:rPr>
        <w:rFonts w:hint="default"/>
      </w:rPr>
    </w:lvl>
    <w:lvl w:ilvl="8" w:tplc="682CF39E">
      <w:numFmt w:val="bullet"/>
      <w:lvlText w:val="•"/>
      <w:lvlJc w:val="left"/>
      <w:pPr>
        <w:ind w:left="7832" w:hanging="720"/>
      </w:pPr>
      <w:rPr>
        <w:rFonts w:hint="default"/>
      </w:rPr>
    </w:lvl>
  </w:abstractNum>
  <w:abstractNum w:abstractNumId="2" w15:restartNumberingAfterBreak="0">
    <w:nsid w:val="6FBB1CE8"/>
    <w:multiLevelType w:val="hybridMultilevel"/>
    <w:tmpl w:val="59E2953E"/>
    <w:lvl w:ilvl="0" w:tplc="AEA69FFA">
      <w:numFmt w:val="bullet"/>
      <w:lvlText w:val="•"/>
      <w:lvlJc w:val="left"/>
      <w:pPr>
        <w:ind w:left="840" w:hanging="720"/>
      </w:pPr>
      <w:rPr>
        <w:rFonts w:ascii="Arial" w:eastAsia="Arial" w:hAnsi="Arial" w:cs="Arial" w:hint="default"/>
        <w:spacing w:val="-1"/>
        <w:w w:val="100"/>
        <w:sz w:val="24"/>
        <w:szCs w:val="24"/>
      </w:rPr>
    </w:lvl>
    <w:lvl w:ilvl="1" w:tplc="ABD816C2">
      <w:numFmt w:val="bullet"/>
      <w:lvlText w:val="•"/>
      <w:lvlJc w:val="left"/>
      <w:pPr>
        <w:ind w:left="1714" w:hanging="720"/>
      </w:pPr>
      <w:rPr>
        <w:rFonts w:hint="default"/>
      </w:rPr>
    </w:lvl>
    <w:lvl w:ilvl="2" w:tplc="7654FB52">
      <w:numFmt w:val="bullet"/>
      <w:lvlText w:val="•"/>
      <w:lvlJc w:val="left"/>
      <w:pPr>
        <w:ind w:left="2588" w:hanging="720"/>
      </w:pPr>
      <w:rPr>
        <w:rFonts w:hint="default"/>
      </w:rPr>
    </w:lvl>
    <w:lvl w:ilvl="3" w:tplc="3FCE1096">
      <w:numFmt w:val="bullet"/>
      <w:lvlText w:val="•"/>
      <w:lvlJc w:val="left"/>
      <w:pPr>
        <w:ind w:left="3462" w:hanging="720"/>
      </w:pPr>
      <w:rPr>
        <w:rFonts w:hint="default"/>
      </w:rPr>
    </w:lvl>
    <w:lvl w:ilvl="4" w:tplc="B60C6522">
      <w:numFmt w:val="bullet"/>
      <w:lvlText w:val="•"/>
      <w:lvlJc w:val="left"/>
      <w:pPr>
        <w:ind w:left="4336" w:hanging="720"/>
      </w:pPr>
      <w:rPr>
        <w:rFonts w:hint="default"/>
      </w:rPr>
    </w:lvl>
    <w:lvl w:ilvl="5" w:tplc="20ACF240">
      <w:numFmt w:val="bullet"/>
      <w:lvlText w:val="•"/>
      <w:lvlJc w:val="left"/>
      <w:pPr>
        <w:ind w:left="5210" w:hanging="720"/>
      </w:pPr>
      <w:rPr>
        <w:rFonts w:hint="default"/>
      </w:rPr>
    </w:lvl>
    <w:lvl w:ilvl="6" w:tplc="0DF01658">
      <w:numFmt w:val="bullet"/>
      <w:lvlText w:val="•"/>
      <w:lvlJc w:val="left"/>
      <w:pPr>
        <w:ind w:left="6084" w:hanging="720"/>
      </w:pPr>
      <w:rPr>
        <w:rFonts w:hint="default"/>
      </w:rPr>
    </w:lvl>
    <w:lvl w:ilvl="7" w:tplc="86B0A2EC">
      <w:numFmt w:val="bullet"/>
      <w:lvlText w:val="•"/>
      <w:lvlJc w:val="left"/>
      <w:pPr>
        <w:ind w:left="6958" w:hanging="720"/>
      </w:pPr>
      <w:rPr>
        <w:rFonts w:hint="default"/>
      </w:rPr>
    </w:lvl>
    <w:lvl w:ilvl="8" w:tplc="CB480FA0">
      <w:numFmt w:val="bullet"/>
      <w:lvlText w:val="•"/>
      <w:lvlJc w:val="left"/>
      <w:pPr>
        <w:ind w:left="7832" w:hanging="720"/>
      </w:pPr>
      <w:rPr>
        <w:rFonts w:hint="default"/>
      </w:rPr>
    </w:lvl>
  </w:abstractNum>
  <w:num w:numId="1" w16cid:durableId="2016835361">
    <w:abstractNumId w:val="1"/>
  </w:num>
  <w:num w:numId="2" w16cid:durableId="255358970">
    <w:abstractNumId w:val="0"/>
  </w:num>
  <w:num w:numId="3" w16cid:durableId="74904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65"/>
    <w:rsid w:val="0000074B"/>
    <w:rsid w:val="00065079"/>
    <w:rsid w:val="000667BD"/>
    <w:rsid w:val="000748FF"/>
    <w:rsid w:val="000749E8"/>
    <w:rsid w:val="0009275E"/>
    <w:rsid w:val="00150C8D"/>
    <w:rsid w:val="001A7133"/>
    <w:rsid w:val="001F0500"/>
    <w:rsid w:val="00207955"/>
    <w:rsid w:val="002102E2"/>
    <w:rsid w:val="002E184C"/>
    <w:rsid w:val="003139B0"/>
    <w:rsid w:val="00317D67"/>
    <w:rsid w:val="003208E7"/>
    <w:rsid w:val="00330BB1"/>
    <w:rsid w:val="003634E6"/>
    <w:rsid w:val="003649A0"/>
    <w:rsid w:val="00364E41"/>
    <w:rsid w:val="003A1CE4"/>
    <w:rsid w:val="003D01EA"/>
    <w:rsid w:val="00442622"/>
    <w:rsid w:val="00462FED"/>
    <w:rsid w:val="004B08C1"/>
    <w:rsid w:val="004D4D47"/>
    <w:rsid w:val="004F42EF"/>
    <w:rsid w:val="00503964"/>
    <w:rsid w:val="00597E33"/>
    <w:rsid w:val="00622E7E"/>
    <w:rsid w:val="00634311"/>
    <w:rsid w:val="006651F3"/>
    <w:rsid w:val="00676C45"/>
    <w:rsid w:val="006D2A10"/>
    <w:rsid w:val="006F6418"/>
    <w:rsid w:val="00710948"/>
    <w:rsid w:val="007508E2"/>
    <w:rsid w:val="007734F9"/>
    <w:rsid w:val="0077628A"/>
    <w:rsid w:val="007C6BF1"/>
    <w:rsid w:val="007D7DE1"/>
    <w:rsid w:val="007F4213"/>
    <w:rsid w:val="00803BE5"/>
    <w:rsid w:val="008048C7"/>
    <w:rsid w:val="008A04CA"/>
    <w:rsid w:val="00902EBF"/>
    <w:rsid w:val="00956A2E"/>
    <w:rsid w:val="009F4894"/>
    <w:rsid w:val="00A15158"/>
    <w:rsid w:val="00A84EE6"/>
    <w:rsid w:val="00AA51E6"/>
    <w:rsid w:val="00AB454B"/>
    <w:rsid w:val="00AF0552"/>
    <w:rsid w:val="00B001EB"/>
    <w:rsid w:val="00B26730"/>
    <w:rsid w:val="00B34151"/>
    <w:rsid w:val="00C226C7"/>
    <w:rsid w:val="00C25997"/>
    <w:rsid w:val="00C96C06"/>
    <w:rsid w:val="00CD4D6D"/>
    <w:rsid w:val="00CD6105"/>
    <w:rsid w:val="00CF077D"/>
    <w:rsid w:val="00D002B8"/>
    <w:rsid w:val="00D0605B"/>
    <w:rsid w:val="00D26FC1"/>
    <w:rsid w:val="00D45F7E"/>
    <w:rsid w:val="00D61832"/>
    <w:rsid w:val="00DB69F3"/>
    <w:rsid w:val="00DC1565"/>
    <w:rsid w:val="00DE0263"/>
    <w:rsid w:val="00E06E6F"/>
    <w:rsid w:val="00E6423E"/>
    <w:rsid w:val="00E770B7"/>
    <w:rsid w:val="00EE30AC"/>
    <w:rsid w:val="00EF697D"/>
    <w:rsid w:val="00F07974"/>
    <w:rsid w:val="00F3424E"/>
    <w:rsid w:val="00F56DCA"/>
    <w:rsid w:val="00F7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98BA"/>
  <w15:docId w15:val="{527A39B1-CB32-48BF-B677-64D9ECED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1"/>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105"/>
    </w:pPr>
    <w:rPr>
      <w:sz w:val="24"/>
      <w:szCs w:val="24"/>
    </w:rPr>
  </w:style>
  <w:style w:type="paragraph" w:styleId="ListParagraph">
    <w:name w:val="List Paragraph"/>
    <w:basedOn w:val="Normal"/>
    <w:uiPriority w:val="1"/>
    <w:qFormat/>
    <w:pPr>
      <w:spacing w:before="188"/>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2A10"/>
    <w:pPr>
      <w:tabs>
        <w:tab w:val="center" w:pos="4680"/>
        <w:tab w:val="right" w:pos="9360"/>
      </w:tabs>
    </w:pPr>
  </w:style>
  <w:style w:type="character" w:customStyle="1" w:styleId="HeaderChar">
    <w:name w:val="Header Char"/>
    <w:basedOn w:val="DefaultParagraphFont"/>
    <w:link w:val="Header"/>
    <w:uiPriority w:val="99"/>
    <w:rsid w:val="006D2A10"/>
    <w:rPr>
      <w:rFonts w:ascii="Times New Roman" w:eastAsia="Times New Roman" w:hAnsi="Times New Roman" w:cs="Times New Roman"/>
    </w:rPr>
  </w:style>
  <w:style w:type="paragraph" w:styleId="Footer">
    <w:name w:val="footer"/>
    <w:basedOn w:val="Normal"/>
    <w:link w:val="FooterChar"/>
    <w:uiPriority w:val="99"/>
    <w:unhideWhenUsed/>
    <w:rsid w:val="006D2A10"/>
    <w:pPr>
      <w:tabs>
        <w:tab w:val="center" w:pos="4680"/>
        <w:tab w:val="right" w:pos="9360"/>
      </w:tabs>
    </w:pPr>
  </w:style>
  <w:style w:type="character" w:customStyle="1" w:styleId="FooterChar">
    <w:name w:val="Footer Char"/>
    <w:basedOn w:val="DefaultParagraphFont"/>
    <w:link w:val="Footer"/>
    <w:uiPriority w:val="99"/>
    <w:rsid w:val="006D2A10"/>
    <w:rPr>
      <w:rFonts w:ascii="Times New Roman" w:eastAsia="Times New Roman" w:hAnsi="Times New Roman" w:cs="Times New Roman"/>
    </w:rPr>
  </w:style>
  <w:style w:type="paragraph" w:styleId="Revision">
    <w:name w:val="Revision"/>
    <w:hidden/>
    <w:uiPriority w:val="99"/>
    <w:semiHidden/>
    <w:rsid w:val="00317D6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17D67"/>
    <w:rPr>
      <w:sz w:val="16"/>
      <w:szCs w:val="16"/>
    </w:rPr>
  </w:style>
  <w:style w:type="paragraph" w:styleId="CommentText">
    <w:name w:val="annotation text"/>
    <w:basedOn w:val="Normal"/>
    <w:link w:val="CommentTextChar"/>
    <w:uiPriority w:val="99"/>
    <w:unhideWhenUsed/>
    <w:rsid w:val="00317D67"/>
    <w:rPr>
      <w:sz w:val="20"/>
      <w:szCs w:val="20"/>
    </w:rPr>
  </w:style>
  <w:style w:type="character" w:customStyle="1" w:styleId="CommentTextChar">
    <w:name w:val="Comment Text Char"/>
    <w:basedOn w:val="DefaultParagraphFont"/>
    <w:link w:val="CommentText"/>
    <w:uiPriority w:val="99"/>
    <w:rsid w:val="00317D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D67"/>
    <w:rPr>
      <w:b/>
      <w:bCs/>
    </w:rPr>
  </w:style>
  <w:style w:type="character" w:customStyle="1" w:styleId="CommentSubjectChar">
    <w:name w:val="Comment Subject Char"/>
    <w:basedOn w:val="CommentTextChar"/>
    <w:link w:val="CommentSubject"/>
    <w:uiPriority w:val="99"/>
    <w:semiHidden/>
    <w:rsid w:val="00317D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TotalTime>
  <Pages>5</Pages>
  <Words>2442</Words>
  <Characters>11431</Characters>
  <Application>Microsoft Office Word</Application>
  <DocSecurity>0</DocSecurity>
  <Lines>952</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3</cp:revision>
  <dcterms:created xsi:type="dcterms:W3CDTF">2026-03-19T22:30:00Z</dcterms:created>
  <dcterms:modified xsi:type="dcterms:W3CDTF">2026-03-20T19:25:00Z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2025-03-04T01:39:12Z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4eac7296-179c-4aeb-8d80-d0908206eb24</vt:lpwstr>
  </property>
  <property fmtid="{D5CDD505-2E9C-101B-9397-08002B2CF9AE}" pid="8" name="MSIP_Label_1ecdf243-b9b0-4f63-8694-76742e4201b7_ContentBits">
    <vt:lpwstr>0</vt:lpwstr>
  </property>
  <property fmtid="{D5CDD505-2E9C-101B-9397-08002B2CF9AE}" pid="9" name="Created">
    <vt:filetime>2024-03-21T00:00:00Z</vt:filetime>
  </property>
  <property fmtid="{D5CDD505-2E9C-101B-9397-08002B2CF9AE}" pid="10" name="LastSaved">
    <vt:filetime>2025-03-04T00:00:00Z</vt:filetime>
  </property>
</Properties>
</file>