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11.0 -->
  <w:body>
    <w:p w:rsidR="00A77B3E">
      <w:pPr>
        <w:keepNext w:val="0"/>
        <w:keepLines w:val="0"/>
        <w:pageBreakBefore w:val="0"/>
        <w:widowControl/>
        <w:numPr>
          <w:ilvl w:val="0"/>
          <w:numId w:val="0"/>
        </w:numPr>
        <w:pBdr>
          <w:top w:val="nil"/>
          <w:left w:val="nil"/>
          <w:bottom w:val="nil"/>
          <w:right w:val="nil"/>
          <w:between w:val="nil"/>
          <w:bar w:val="nil"/>
        </w:pBdr>
        <w:spacing w:before="0" w:after="120" w:line="278"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drawing>
          <wp:inline>
            <wp:extent cx="1505712" cy="591312"/>
            <wp:docPr id="100001" name="WSBBancorpLogo4CCMYK"/>
            <wp:cNvGraphicFramePr>
              <a:graphicFrameLocks xmlns:a="http://schemas.openxmlformats.org/drawingml/2006/main" noChangeAspect="0"/>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0"/>
                    </pic:cNvPicPr>
                  </pic:nvPicPr>
                  <pic:blipFill>
                    <a:blip xmlns:r="http://schemas.openxmlformats.org/officeDocument/2006/relationships" r:embed="rId4"/>
                    <a:stretch>
                      <a:fillRect/>
                    </a:stretch>
                  </pic:blipFill>
                  <pic:spPr>
                    <a:xfrm>
                      <a:off x="0" y="0"/>
                      <a:ext cx="1505712" cy="591312"/>
                    </a:xfrm>
                    <a:prstGeom prst="rect">
                      <a:avLst/>
                    </a:prstGeom>
                  </pic:spPr>
                </pic:pic>
              </a:graphicData>
            </a:graphic>
          </wp:inline>
        </w:drawing>
      </w:r>
    </w:p>
    <w:p>
      <w:pPr>
        <w:keepNext w:val="0"/>
        <w:keepLines w:val="0"/>
        <w:pageBreakBefore w:val="0"/>
        <w:widowControl/>
        <w:numPr>
          <w:ilvl w:val="0"/>
          <w:numId w:val="0"/>
        </w:numPr>
        <w:pBdr>
          <w:top w:val="nil"/>
          <w:left w:val="nil"/>
          <w:bottom w:val="nil"/>
          <w:right w:val="nil"/>
          <w:between w:val="nil"/>
          <w:bar w:val="nil"/>
        </w:pBdr>
        <w:spacing w:before="0" w:after="120" w:line="278" w:lineRule="auto"/>
        <w:ind w:left="0" w:right="0" w:firstLine="0"/>
        <w:contextualSpacing w:val="0"/>
        <w:jc w:val="center"/>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Winchester Bancorp, Inc.</w:t>
      </w:r>
    </w:p>
    <w:p>
      <w:pPr>
        <w:keepNext w:val="0"/>
        <w:keepLines w:val="0"/>
        <w:pageBreakBefore w:val="0"/>
        <w:widowControl/>
        <w:numPr>
          <w:ilvl w:val="0"/>
          <w:numId w:val="0"/>
        </w:numPr>
        <w:pBdr>
          <w:top w:val="nil"/>
          <w:left w:val="nil"/>
          <w:bottom w:val="nil"/>
          <w:right w:val="nil"/>
          <w:between w:val="nil"/>
          <w:bar w:val="nil"/>
        </w:pBdr>
        <w:spacing w:before="0" w:after="240" w:line="278" w:lineRule="auto"/>
        <w:ind w:left="0" w:right="0" w:firstLine="0"/>
        <w:contextualSpacing w:val="0"/>
        <w:jc w:val="center"/>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Announces Results for the Year Ended June 30, 2026</w:t>
      </w:r>
    </w:p>
    <w:p>
      <w:pPr>
        <w:keepNext w:val="0"/>
        <w:keepLines w:val="0"/>
        <w:pageBreakBefore w:val="0"/>
        <w:widowControl/>
        <w:numPr>
          <w:ilvl w:val="0"/>
          <w:numId w:val="0"/>
        </w:numPr>
        <w:pBdr>
          <w:top w:val="nil"/>
          <w:left w:val="nil"/>
          <w:bottom w:val="nil"/>
          <w:right w:val="nil"/>
          <w:between w:val="nil"/>
          <w:bar w:val="nil"/>
        </w:pBdr>
        <w:spacing w:before="0" w:after="0" w:line="278"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single"/>
          <w:vertAlign w:val="baseline"/>
        </w:rPr>
        <w:t>Investor Contact</w:t>
      </w:r>
      <w:r>
        <w:rPr>
          <w:rFonts w:ascii="Times New Roman" w:eastAsia="Times New Roman" w:hAnsi="Times New Roman" w:cs="Times New Roman"/>
          <w:b/>
          <w:i w:val="0"/>
          <w:caps w:val="0"/>
          <w:smallCaps w:val="0"/>
          <w:strike w:val="0"/>
          <w:color w:val="000000"/>
          <w:sz w:val="20"/>
          <w:u w:val="none"/>
          <w:vertAlign w:val="baseline"/>
        </w:rPr>
        <w:t xml:space="preserve"> </w:t>
      </w:r>
    </w:p>
    <w:p>
      <w:pPr>
        <w:keepNext w:val="0"/>
        <w:keepLines w:val="0"/>
        <w:pageBreakBefore w:val="0"/>
        <w:widowControl/>
        <w:numPr>
          <w:ilvl w:val="0"/>
          <w:numId w:val="0"/>
        </w:numPr>
        <w:pBdr>
          <w:top w:val="nil"/>
          <w:left w:val="nil"/>
          <w:bottom w:val="nil"/>
          <w:right w:val="nil"/>
          <w:between w:val="nil"/>
          <w:bar w:val="nil"/>
        </w:pBdr>
        <w:spacing w:before="0" w:after="0" w:line="278"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John A. Carroll</w:t>
      </w:r>
    </w:p>
    <w:p>
      <w:pPr>
        <w:keepNext w:val="0"/>
        <w:keepLines w:val="0"/>
        <w:pageBreakBefore w:val="0"/>
        <w:widowControl/>
        <w:numPr>
          <w:ilvl w:val="0"/>
          <w:numId w:val="0"/>
        </w:numPr>
        <w:pBdr>
          <w:top w:val="nil"/>
          <w:left w:val="nil"/>
          <w:bottom w:val="nil"/>
          <w:right w:val="nil"/>
          <w:between w:val="nil"/>
          <w:bar w:val="nil"/>
        </w:pBdr>
        <w:spacing w:before="0" w:after="0" w:line="278"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President and Chief Executive Officer</w:t>
      </w:r>
    </w:p>
    <w:p>
      <w:pPr>
        <w:keepNext w:val="0"/>
        <w:keepLines w:val="0"/>
        <w:pageBreakBefore w:val="0"/>
        <w:widowControl/>
        <w:numPr>
          <w:ilvl w:val="0"/>
          <w:numId w:val="0"/>
        </w:numPr>
        <w:pBdr>
          <w:top w:val="nil"/>
          <w:left w:val="nil"/>
          <w:bottom w:val="nil"/>
          <w:right w:val="nil"/>
          <w:between w:val="nil"/>
          <w:bar w:val="nil"/>
        </w:pBdr>
        <w:spacing w:before="0" w:after="0" w:line="278"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IR@WinchesterSavings.com</w:t>
      </w:r>
    </w:p>
    <w:p>
      <w:pPr>
        <w:keepNext w:val="0"/>
        <w:keepLines w:val="0"/>
        <w:pageBreakBefore w:val="0"/>
        <w:widowControl/>
        <w:numPr>
          <w:ilvl w:val="0"/>
          <w:numId w:val="0"/>
        </w:numPr>
        <w:pBdr>
          <w:top w:val="nil"/>
          <w:left w:val="nil"/>
          <w:bottom w:val="nil"/>
          <w:right w:val="nil"/>
          <w:between w:val="nil"/>
          <w:bar w:val="nil"/>
        </w:pBdr>
        <w:spacing w:before="0" w:after="240" w:line="278"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(781) 729-2130</w:t>
      </w:r>
    </w:p>
    <w:p>
      <w:pPr>
        <w:keepNext w:val="0"/>
        <w:keepLines w:val="0"/>
        <w:pageBreakBefore w:val="0"/>
        <w:widowControl/>
        <w:numPr>
          <w:ilvl w:val="0"/>
          <w:numId w:val="0"/>
        </w:numPr>
        <w:pBdr>
          <w:top w:val="nil"/>
          <w:left w:val="nil"/>
          <w:bottom w:val="nil"/>
          <w:right w:val="nil"/>
          <w:between w:val="nil"/>
          <w:bar w:val="nil"/>
        </w:pBdr>
        <w:spacing w:before="0" w:after="120" w:line="276"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WINCHESTER, MA, July 30</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2026 </w:t>
      </w:r>
      <w:r>
        <w:rPr>
          <w:rFonts w:ascii="Times New Roman" w:eastAsia="Times New Roman" w:hAnsi="Times New Roman" w:cs="Times New Roman"/>
          <w:b w:val="0"/>
          <w:i w:val="0"/>
          <w:caps w:val="0"/>
          <w:smallCaps w:val="0"/>
          <w:strike w:val="0"/>
          <w:color w:val="000000"/>
          <w:sz w:val="20"/>
          <w:u w:val="none"/>
          <w:vertAlign w:val="baseline"/>
        </w:rPr>
        <w:t xml:space="preserve">- Winchester Bancorp, Inc. (NASDAQ-WSBK) (the "Company"), the holding company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for Winchester Savings Bank (the "Bank"), today announced its fiscal 2026 financial results. The Company reported net income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$4.4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$0.49 per common share, as compared to net loss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$874,000</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an increase of $5.3 million in net income. Operating net income for the year ended June 30, 2025, which excludes our contribution to the Winchester Savings Bank Charitable Foundation, Inc. (the "Charitable Foundation"), was $750,000 (non-GAAP), making the year over year increase $3.7 million on an adjusted basis. </w:t>
      </w:r>
    </w:p>
    <w:p>
      <w:pPr>
        <w:keepNext w:val="0"/>
        <w:keepLines w:val="0"/>
        <w:pageBreakBefore w:val="0"/>
        <w:widowControl/>
        <w:numPr>
          <w:ilvl w:val="0"/>
          <w:numId w:val="0"/>
        </w:numPr>
        <w:pBdr>
          <w:top w:val="nil"/>
          <w:left w:val="nil"/>
          <w:bottom w:val="nil"/>
          <w:right w:val="nil"/>
          <w:between w:val="nil"/>
          <w:bar w:val="nil"/>
        </w:pBdr>
        <w:spacing w:before="0" w:after="240" w:line="276"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“In our first full year as a public company, we've demonstrated the ability to deploy capital prudently to grow the franchise</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Loan and deposit growth were both impressive year-over-year, up $119.6 million, or 15.9% and $130.1 million, or 19.1%, respectively. Total assets grew more than $146.5 million, or 15.4%, while profitability also improved, with margin expanding to 2.55% from 2.05% and efficiency improving to 75.2%</w:t>
      </w:r>
      <w:r>
        <w:rPr>
          <w:rFonts w:ascii="Times New Roman" w:eastAsia="Times New Roman" w:hAnsi="Times New Roman" w:cs="Times New Roman"/>
          <w:b w:val="0"/>
          <w:i w:val="0"/>
          <w:caps w:val="0"/>
          <w:smallCaps w:val="0"/>
          <w:strike w:val="0"/>
          <w:color w:val="000000"/>
          <w:sz w:val="20"/>
          <w:u w:val="none"/>
          <w:vertAlign w:val="baseline"/>
        </w:rPr>
        <w:t xml:space="preserve"> from 85.5% (non-GAAP), both compared to June 30, 2025," </w:t>
      </w:r>
      <w:r>
        <w:rPr>
          <w:rFonts w:ascii="Times New Roman" w:eastAsia="Times New Roman" w:hAnsi="Times New Roman" w:cs="Times New Roman"/>
          <w:b w:val="0"/>
          <w:i w:val="0"/>
          <w:caps w:val="0"/>
          <w:smallCaps w:val="0"/>
          <w:strike w:val="0"/>
          <w:color w:val="000000"/>
          <w:sz w:val="20"/>
          <w:u w:val="none"/>
          <w:vertAlign w:val="baseline"/>
        </w:rPr>
        <w:t>said John A. Carroll, President and Chief Executive Officer. "Our first year as a public company was a strong one, from establishing our municipal department to delivering double digit growth and improved earnings. We look forward to building on that momentum as we enter our second year of creating shareholder value,</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Carroll added</w:t>
      </w:r>
      <w:r>
        <w:rPr>
          <w:rFonts w:ascii="Times New Roman" w:eastAsia="Times New Roman" w:hAnsi="Times New Roman" w:cs="Times New Roman"/>
          <w:b w:val="0"/>
          <w:i w:val="0"/>
          <w:caps w:val="0"/>
          <w:smallCaps w:val="0"/>
          <w:strike w:val="0"/>
          <w:color w:val="000000"/>
          <w:sz w:val="20"/>
          <w:u w:val="none"/>
          <w:vertAlign w:val="baseline"/>
        </w:rPr>
        <w:t>.</w:t>
      </w:r>
    </w:p>
    <w:p>
      <w:pPr>
        <w:keepNext w:val="0"/>
        <w:keepLines w:val="0"/>
        <w:pageBreakBefore w:val="0"/>
        <w:widowControl/>
        <w:numPr>
          <w:ilvl w:val="0"/>
          <w:numId w:val="0"/>
        </w:numPr>
        <w:pBdr>
          <w:top w:val="nil"/>
          <w:left w:val="nil"/>
          <w:bottom w:val="nil"/>
          <w:right w:val="nil"/>
          <w:between w:val="nil"/>
          <w:bar w:val="nil"/>
        </w:pBdr>
        <w:spacing w:before="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BALANCE SHEET</w:t>
      </w:r>
    </w:p>
    <w:p>
      <w:pPr>
        <w:keepNext w:val="0"/>
        <w:keepLines w:val="0"/>
        <w:pageBreakBefore w:val="0"/>
        <w:widowControl/>
        <w:numPr>
          <w:ilvl w:val="0"/>
          <w:numId w:val="0"/>
        </w:numPr>
        <w:pBdr>
          <w:top w:val="nil"/>
          <w:left w:val="nil"/>
          <w:bottom w:val="nil"/>
          <w:right w:val="nil"/>
          <w:between w:val="nil"/>
          <w:bar w:val="nil"/>
        </w:pBdr>
        <w:spacing w:before="0" w:after="120" w:line="276"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Tota</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l assets were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$1.10 billion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at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2026</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$146.6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15.4%</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w:t>
      </w:r>
    </w:p>
    <w:p>
      <w:pPr>
        <w:keepNext w:val="0"/>
        <w:keepLines w:val="0"/>
        <w:pageBreakBefore w:val="0"/>
        <w:widowControl/>
        <w:numPr>
          <w:ilvl w:val="0"/>
          <w:numId w:val="2"/>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Cash and cash equivalents were $60.0 million, reflecting an increase of $4.8 million, or 8.7%,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w:t>
      </w:r>
    </w:p>
    <w:p>
      <w:pPr>
        <w:keepNext w:val="0"/>
        <w:keepLines w:val="0"/>
        <w:pageBreakBefore w:val="0"/>
        <w:widowControl/>
        <w:numPr>
          <w:ilvl w:val="0"/>
          <w:numId w:val="2"/>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Net loans were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$870.8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$119.6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15.9%</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as we continued to experience strong loan demand. The main driver of the new growth was in our residential and multifamily portfolios, which increased $47.6 millio</w:t>
      </w:r>
      <w:r>
        <w:rPr>
          <w:rFonts w:ascii="Times New Roman" w:eastAsia="Times New Roman" w:hAnsi="Times New Roman" w:cs="Times New Roman"/>
          <w:b w:val="0"/>
          <w:i w:val="0"/>
          <w:caps w:val="0"/>
          <w:smallCaps w:val="0"/>
          <w:strike w:val="0"/>
          <w:color w:val="000000"/>
          <w:sz w:val="20"/>
          <w:u w:val="none"/>
          <w:vertAlign w:val="baseline"/>
        </w:rPr>
        <w:t xml:space="preserve">n, or 13.3%, and $45.9 million, or 27.6%, respectively, since </w:t>
      </w:r>
      <w:r>
        <w:rPr>
          <w:rFonts w:ascii="Times New Roman" w:eastAsia="Times New Roman" w:hAnsi="Times New Roman" w:cs="Times New Roman"/>
          <w:b w:val="0"/>
          <w:i w:val="0"/>
          <w:caps w:val="0"/>
          <w:smallCaps w:val="0"/>
          <w:strike w:val="0"/>
          <w:color w:val="000000"/>
          <w:sz w:val="20"/>
          <w:u w:val="none"/>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 xml:space="preserve">. </w:t>
      </w:r>
    </w:p>
    <w:p>
      <w:pPr>
        <w:keepNext w:val="0"/>
        <w:keepLines w:val="0"/>
        <w:pageBreakBefore w:val="0"/>
        <w:widowControl/>
        <w:numPr>
          <w:ilvl w:val="0"/>
          <w:numId w:val="4"/>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Investment securities totaled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$125.0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$20.5 million, or 19.6%,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due to purchases of U.S. Treasury bonds and government agency securities. </w:t>
      </w:r>
    </w:p>
    <w:p>
      <w:pPr>
        <w:keepNext w:val="0"/>
        <w:keepLines w:val="0"/>
        <w:pageBreakBefore w:val="0"/>
        <w:widowControl/>
        <w:numPr>
          <w:ilvl w:val="0"/>
          <w:numId w:val="6"/>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Deposits totaled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$809.2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$130.1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19.1%</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since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The increase in deposits was a result of growth of $135.6 million in municipal customer deposits. As a result of the increase in municipal deposits, money market accounts increased $140.0 million. Savings accounts and certificates of deposit decreased $10.3 million and $1.6 million, respectively, while demand deposit accounts increased $2.0 million.</w:t>
      </w:r>
    </w:p>
    <w:p>
      <w:pPr>
        <w:keepNext w:val="0"/>
        <w:keepLines w:val="0"/>
        <w:pageBreakBefore w:val="0"/>
        <w:widowControl/>
        <w:numPr>
          <w:ilvl w:val="0"/>
          <w:numId w:val="6"/>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Federal Home Loan Bank borrowings totaled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$158.2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$11.2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7.6%</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from $147.0 million at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w:t>
      </w:r>
    </w:p>
    <w:p>
      <w:pPr>
        <w:keepNext w:val="0"/>
        <w:keepLines w:val="0"/>
        <w:pageBreakBefore w:val="0"/>
        <w:widowControl/>
        <w:numPr>
          <w:ilvl w:val="0"/>
          <w:numId w:val="8"/>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Stockholders’ equity was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$120.5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representing an increase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$5.2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or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4.5%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$115.4 million</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from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The increase was driven by net income of $4.4 million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2026</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and a decrease in accumulated other comprehensive loss of $530,000.</w:t>
      </w:r>
    </w:p>
    <w:p>
      <w:pPr>
        <w:keepNext/>
        <w:keepLines/>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NET INTEREST INCOME</w:t>
      </w:r>
    </w:p>
    <w:p>
      <w:pPr>
        <w:keepNext/>
        <w:keepLines/>
        <w:pageBreakBefore w:val="0"/>
        <w:widowControl/>
        <w:numPr>
          <w:ilvl w:val="0"/>
          <w:numId w:val="0"/>
        </w:numPr>
        <w:pBdr>
          <w:top w:val="nil"/>
          <w:left w:val="nil"/>
          <w:bottom w:val="nil"/>
          <w:right w:val="nil"/>
          <w:between w:val="nil"/>
          <w:bar w:val="nil"/>
        </w:pBdr>
        <w:spacing w:before="0" w:after="160" w:line="276"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Net interest income was $25.0 million for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compared to $17.5 million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 xml:space="preserve">, representing an increase of $7.5 million, or 42.6%. Net interest margin expanded by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50</w:t>
      </w:r>
      <w:r>
        <w:rPr>
          <w:rFonts w:ascii="Times New Roman" w:eastAsia="Times New Roman" w:hAnsi="Times New Roman" w:cs="Times New Roman"/>
          <w:b w:val="0"/>
          <w:i w:val="0"/>
          <w:caps w:val="0"/>
          <w:smallCaps w:val="0"/>
          <w:strike w:val="0"/>
          <w:color w:val="000000"/>
          <w:sz w:val="20"/>
          <w:u w:val="none"/>
          <w:vertAlign w:val="baseline"/>
        </w:rPr>
        <w:t xml:space="preserve"> basis points to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2.55%</w:t>
      </w:r>
      <w:r>
        <w:rPr>
          <w:rFonts w:ascii="Times New Roman" w:eastAsia="Times New Roman" w:hAnsi="Times New Roman" w:cs="Times New Roman"/>
          <w:b w:val="0"/>
          <w:i w:val="0"/>
          <w:caps w:val="0"/>
          <w:smallCaps w:val="0"/>
          <w:strike w:val="0"/>
          <w:color w:val="000000"/>
          <w:sz w:val="20"/>
          <w:u w:val="none"/>
          <w:vertAlign w:val="baseline"/>
        </w:rPr>
        <w:t xml:space="preserve"> for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compared to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2.05%</w:t>
      </w:r>
      <w:r>
        <w:rPr>
          <w:rFonts w:ascii="Times New Roman" w:eastAsia="Times New Roman" w:hAnsi="Times New Roman" w:cs="Times New Roman"/>
          <w:b w:val="0"/>
          <w:i w:val="0"/>
          <w:caps w:val="0"/>
          <w:smallCaps w:val="0"/>
          <w:strike w:val="0"/>
          <w:color w:val="000000"/>
          <w:sz w:val="20"/>
          <w:u w:val="none"/>
          <w:vertAlign w:val="baseline"/>
        </w:rPr>
        <w:t xml:space="preserve">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 xml:space="preserve">. </w:t>
      </w:r>
    </w:p>
    <w:p>
      <w:pPr>
        <w:keepNext w:val="0"/>
        <w:keepLines w:val="0"/>
        <w:pageBreakBefore w:val="0"/>
        <w:widowControl/>
        <w:numPr>
          <w:ilvl w:val="0"/>
          <w:numId w:val="10"/>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The increase in interest income during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was primarily attributable to the increase in the average balance of loans and investment securities. </w:t>
      </w:r>
    </w:p>
    <w:p>
      <w:pPr>
        <w:keepNext w:val="0"/>
        <w:keepLines w:val="0"/>
        <w:pageBreakBefore w:val="0"/>
        <w:widowControl/>
        <w:numPr>
          <w:ilvl w:val="0"/>
          <w:numId w:val="12"/>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The increase in interest expense during the year was primarily attributable to higher average interest-bearing deposit balances, partially offset by lower average rates paid on those deposits, lower average borrowings, and reduced borrowing rates.</w:t>
      </w:r>
    </w:p>
    <w:p>
      <w:pPr>
        <w:keepNext w:val="0"/>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NON-INTEREST INCOME</w:t>
      </w:r>
    </w:p>
    <w:p>
      <w:pPr>
        <w:keepNext w:val="0"/>
        <w:keepLines w:val="0"/>
        <w:pageBreakBefore w:val="0"/>
        <w:widowControl/>
        <w:numPr>
          <w:ilvl w:val="0"/>
          <w:numId w:val="0"/>
        </w:numPr>
        <w:pBdr>
          <w:top w:val="nil"/>
          <w:left w:val="nil"/>
          <w:bottom w:val="nil"/>
          <w:right w:val="nil"/>
          <w:between w:val="nil"/>
          <w:bar w:val="nil"/>
        </w:pBdr>
        <w:spacing w:before="12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Non-interest income was $1.3 million for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compared to $1.8 million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 xml:space="preserve">. Non-interest income for the year ended June 30, 2025 includes a one-time gain on the sale of equity securities. </w:t>
      </w:r>
    </w:p>
    <w:p>
      <w:pPr>
        <w:keepNext w:val="0"/>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NON-INTEREST EXPENSE</w:t>
      </w:r>
    </w:p>
    <w:p>
      <w:pPr>
        <w:keepNext w:val="0"/>
        <w:keepLines w:val="0"/>
        <w:pageBreakBefore w:val="0"/>
        <w:widowControl/>
        <w:numPr>
          <w:ilvl w:val="0"/>
          <w:numId w:val="0"/>
        </w:numPr>
        <w:pBdr>
          <w:top w:val="nil"/>
          <w:left w:val="nil"/>
          <w:bottom w:val="nil"/>
          <w:right w:val="nil"/>
          <w:between w:val="nil"/>
          <w:bar w:val="nil"/>
        </w:pBdr>
        <w:spacing w:before="12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Non-interest expense was $19.8 million for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representing an increase of $1.0 million, or 5.2%, from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 xml:space="preserve"> due to increases in salaries and employee benefits, marketing and data processing expense offset by a decrease in other general and administrative expenses as the prior year included a $2.3 million charitable foundation contribution.</w:t>
      </w:r>
    </w:p>
    <w:p>
      <w:pPr>
        <w:keepNext w:val="0"/>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ASSET QUALITY</w:t>
      </w:r>
    </w:p>
    <w:p>
      <w:pPr>
        <w:keepNext w:val="0"/>
        <w:keepLines w:val="0"/>
        <w:pageBreakBefore w:val="0"/>
        <w:widowControl/>
        <w:numPr>
          <w:ilvl w:val="0"/>
          <w:numId w:val="0"/>
        </w:numPr>
        <w:pBdr>
          <w:top w:val="nil"/>
          <w:left w:val="nil"/>
          <w:bottom w:val="nil"/>
          <w:right w:val="nil"/>
          <w:between w:val="nil"/>
          <w:bar w:val="nil"/>
        </w:pBdr>
        <w:spacing w:before="0" w:after="12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Asset quality remains strong. The allowance for credit losses on loans in total and as a percentage of total gross loans as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2026</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was $4.8 million and 0.55%, compared to $4.2 million and 0.55% as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w:t>
      </w:r>
    </w:p>
    <w:p>
      <w:pPr>
        <w:keepNext w:val="0"/>
        <w:keepLines w:val="0"/>
        <w:pageBreakBefore w:val="0"/>
        <w:widowControl/>
        <w:numPr>
          <w:ilvl w:val="0"/>
          <w:numId w:val="14"/>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During the year ended </w:t>
      </w:r>
      <w:r>
        <w:rPr>
          <w:rFonts w:ascii="Times New Roman" w:eastAsia="Times New Roman" w:hAnsi="Times New Roman" w:cs="Times New Roman"/>
          <w:b w:val="0"/>
          <w:i w:val="0"/>
          <w:caps w:val="0"/>
          <w:smallCaps w:val="0"/>
          <w:strike w:val="0"/>
          <w:color w:val="000000"/>
          <w:sz w:val="20"/>
          <w:u w:val="none"/>
          <w:vertAlign w:val="baseline"/>
        </w:rPr>
        <w:t>June 30, 2026</w:t>
      </w:r>
      <w:r>
        <w:rPr>
          <w:rFonts w:ascii="Times New Roman" w:eastAsia="Times New Roman" w:hAnsi="Times New Roman" w:cs="Times New Roman"/>
          <w:b w:val="0"/>
          <w:i w:val="0"/>
          <w:caps w:val="0"/>
          <w:smallCaps w:val="0"/>
          <w:strike w:val="0"/>
          <w:color w:val="000000"/>
          <w:sz w:val="20"/>
          <w:u w:val="none"/>
          <w:vertAlign w:val="baseline"/>
        </w:rPr>
        <w:t xml:space="preserve">, the Company recorded $597,000 of net charge offs compared to net charge offs of $1.4 million for the year ended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vertAlign w:val="baseline"/>
        </w:rPr>
        <w:t>.</w:t>
      </w:r>
    </w:p>
    <w:p>
      <w:pPr>
        <w:keepNext w:val="0"/>
        <w:keepLines w:val="0"/>
        <w:pageBreakBefore w:val="0"/>
        <w:widowControl/>
        <w:numPr>
          <w:ilvl w:val="0"/>
          <w:numId w:val="16"/>
        </w:numPr>
        <w:pBdr>
          <w:top w:val="nil"/>
          <w:left w:val="nil"/>
          <w:bottom w:val="nil"/>
          <w:right w:val="nil"/>
          <w:between w:val="nil"/>
          <w:bar w:val="nil"/>
        </w:pBdr>
        <w:tabs>
          <w:tab w:val="clear" w:pos="0"/>
        </w:tabs>
        <w:spacing w:before="120" w:after="0" w:line="240" w:lineRule="auto"/>
        <w:ind w:left="979" w:right="0" w:hanging="490"/>
        <w:contextualSpacing w:val="0"/>
        <w:jc w:val="left"/>
        <w:rPr>
          <w:rFonts w:ascii="Times New Roman" w:eastAsia="Times New Roman" w:hAnsi="Times New Roman" w:cs="Times New Roman"/>
          <w:b w:val="0"/>
          <w:i w:val="0"/>
          <w:caps w:val="0"/>
          <w:smallCaps w:val="0"/>
          <w:strike w:val="0"/>
          <w:color w:val="000000"/>
          <w:sz w:val="20"/>
          <w:u w:val="none" w:color="auto"/>
          <w:shd w:val="clear" w:color="auto" w:fill="auto"/>
          <w:vertAlign w:val="baseline"/>
        </w:rPr>
      </w:pP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Non-performing assets totaled $1.6 million, or 0.15% of total assets, as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2026</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a decrease from $2.2 million, or 0.23% of total assets, as of </w:t>
      </w:r>
      <w:r>
        <w:rPr>
          <w:rFonts w:ascii="Times New Roman" w:eastAsia="Times New Roman" w:hAnsi="Times New Roman" w:cs="Times New Roman"/>
          <w:b w:val="0"/>
          <w:i w:val="0"/>
          <w:caps w:val="0"/>
          <w:smallCaps w:val="0"/>
          <w:strike w:val="0"/>
          <w:color w:val="000000"/>
          <w:sz w:val="20"/>
          <w:u w:val="none"/>
          <w:shd w:val="clear" w:color="auto" w:fill="auto"/>
          <w:vertAlign w:val="baseline"/>
        </w:rPr>
        <w:t>June 30, 2025</w:t>
      </w:r>
      <w:r>
        <w:rPr>
          <w:rFonts w:ascii="Times New Roman" w:eastAsia="Times New Roman" w:hAnsi="Times New Roman" w:cs="Times New Roman"/>
          <w:b w:val="0"/>
          <w:i w:val="0"/>
          <w:caps w:val="0"/>
          <w:smallCaps w:val="0"/>
          <w:strike w:val="0"/>
          <w:color w:val="000000"/>
          <w:sz w:val="20"/>
          <w:u w:val="none"/>
          <w:shd w:val="clear" w:color="auto" w:fill="auto"/>
          <w:vertAlign w:val="baseline"/>
        </w:rPr>
        <w:t xml:space="preserve">. </w:t>
      </w:r>
    </w:p>
    <w:p>
      <w:pPr>
        <w:keepNext w:val="0"/>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ABOUT WINCHESTER BANCORP, INC.</w:t>
      </w:r>
    </w:p>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Winchester Bancorp, Inc. is the mid-tier holding company of Winchester Savings Bank and is the majority owned subsidiary of Winchester Bancorp, MHC. Winchester Savings Bank's mission is to operate and grow a profitable community-oriented financial institution that is dedicated to meeting the banking needs of individuals and small businesses in the communities in which it operates. </w:t>
      </w:r>
    </w:p>
    <w:p>
      <w:pPr>
        <w:keepNext/>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FORWARD-LOOKING STATEMENTS</w:t>
      </w:r>
    </w:p>
    <w:p>
      <w:pPr>
        <w:keepNext w:val="0"/>
        <w:keepLines w:val="0"/>
        <w:pageBreakBefore w:val="0"/>
        <w:widowControl/>
        <w:numPr>
          <w:ilvl w:val="0"/>
          <w:numId w:val="0"/>
        </w:numPr>
        <w:pBdr>
          <w:top w:val="nil"/>
          <w:left w:val="nil"/>
          <w:bottom w:val="nil"/>
          <w:right w:val="nil"/>
          <w:between w:val="nil"/>
          <w:bar w:val="nil"/>
        </w:pBdr>
        <w:spacing w:before="0" w:after="120" w:line="276"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Certain statements contained in this press release that are not historical facts may constitute forward-looking statements within the meaning of Section 27A of the Securities Act of 1933, as amended, and Section 21E of the Securities Exchange Act of 1934, as amended, and are intended to be covered by the safe harbor provisions of the Private Securities Litigation Reform Act of 1995. The Company may also make forward-looking statements in other documents it files with the Securities and Exchange Commission ("SEC"), in our annual reports to shareholders, in press releases and other written materials, and in oral statements made by our officers, directors or employees. You can identify forward looking statements by the use of the words “believe,” “expect,” “anticipate,” “intend,” “estimate,” “assume,” “outlook,” “will,” “should,” and other expressions that predict or indicate future events and trends and which do not relate to historical matters, including statements regarding the Company’s business, credit quality, financial condition, liquidity and results of operations. Forward-looking statements may differ, possibly materially, from what is included in this press release due to factors and future developments that are uncertain and beyond the scope of the Company’s control. These include, but are not limited to, changes in interest rates; general economic conditions (including the impact of ongoing armed conflicts, tariffs, inflation, and concerns about liquidity) on a national basis or in the local markets in which the Company operates; ongoing turbulence in the capital and debt markets; competitive pressures from other financial institutions; changes in consumer behavior due to changing political, business and economic conditions, or legislative or regulatory initiatives; increases in loan and lease default and charge-off rates; the adequacy of allowances for loan and lease losses; decreases in deposit levels that necessitate increases in borrowing to fund loans and investments; operational risks including, but not limited to, cybersecurity incidents, fraud, natural disasters, and future pandemics; changes in regulation; the possibility that future credit losses may be higher than currently expected due to changes in economic assumptions and adverse economic developments; and changes in assumptions used in making such forward-looking statements. Forward-looking statements involve risks and uncertainties which are difficult to predict. The Company’s actual results could differ materially from those projected in the forward-looking statements as a result of, among others, the risks outlined in the Company’s Annual Report on Form 10-K, as updated by its Quarterly Reports on Form 10-Q and other filings submitted to the SEC. The Company does not undertake any obligation to update any forward-looking statement to reflect circumstances or events that occur after the date the forward-looking statements are made. </w:t>
      </w:r>
    </w:p>
    <w:p>
      <w:pPr>
        <w:keepNext/>
        <w:keepLines w:val="0"/>
        <w:pageBreakBefore w:val="0"/>
        <w:widowControl/>
        <w:numPr>
          <w:ilvl w:val="0"/>
          <w:numId w:val="0"/>
        </w:numPr>
        <w:pBdr>
          <w:top w:val="nil"/>
          <w:left w:val="nil"/>
          <w:bottom w:val="nil"/>
          <w:right w:val="nil"/>
          <w:between w:val="nil"/>
          <w:bar w:val="nil"/>
        </w:pBdr>
        <w:spacing w:before="240" w:after="120" w:line="276" w:lineRule="auto"/>
        <w:ind w:left="0" w:right="0" w:firstLine="0"/>
        <w:contextualSpacing w:val="0"/>
        <w:jc w:val="left"/>
        <w:rPr>
          <w:rFonts w:ascii="Times New Roman" w:eastAsia="Times New Roman" w:hAnsi="Times New Roman" w:cs="Times New Roman"/>
          <w:b/>
          <w:i w:val="0"/>
          <w:caps w:val="0"/>
          <w:smallCaps w:val="0"/>
          <w:strike w:val="0"/>
          <w:color w:val="000000"/>
          <w:sz w:val="24"/>
          <w:u w:val="none"/>
          <w:vertAlign w:val="baseline"/>
        </w:rPr>
      </w:pPr>
      <w:r>
        <w:rPr>
          <w:rFonts w:ascii="Times New Roman" w:eastAsia="Times New Roman" w:hAnsi="Times New Roman" w:cs="Times New Roman"/>
          <w:b/>
          <w:i w:val="0"/>
          <w:caps w:val="0"/>
          <w:smallCaps w:val="0"/>
          <w:strike w:val="0"/>
          <w:color w:val="000000"/>
          <w:sz w:val="24"/>
          <w:u w:val="none"/>
          <w:vertAlign w:val="baseline"/>
        </w:rPr>
        <w:t>NON-GAAP FINANCIAL MEASURES</w:t>
      </w:r>
    </w:p>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The Company uses certain non-GAAP financial measures, such as operating net income, noninterest expense on an operating basis, noninterest income on an operating basis, operating return on average shareholders' equity, operating return on average assets annualized, efficiency ratio, and diluted earnings per share excluding contribution to the Charitable Foundation. These non-GAAP financial measures provide information for investors to effectively analyze financial trends of ongoing business activities, and to enhance comparability with peers across the financial services sector. A detailed reconciliation table of the Company's GAAP to the non-GAAP measures is attached.</w:t>
        <w:br/>
      </w:r>
    </w:p>
    <w:p>
      <w:pPr>
        <w:keepNext/>
        <w:keepLines w:val="0"/>
        <w:pageBreakBefore/>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Winchester Bancorp, Inc. and Subsidiaries</w:t>
      </w:r>
    </w:p>
    <w:p>
      <w:pPr>
        <w:keepNext/>
        <w:keepLines w:val="0"/>
        <w:pageBreakBefore w:val="0"/>
        <w:widowControl/>
        <w:numPr>
          <w:ilvl w:val="0"/>
          <w:numId w:val="0"/>
        </w:numPr>
        <w:pBdr>
          <w:top w:val="nil"/>
          <w:left w:val="nil"/>
          <w:bottom w:val="nil"/>
          <w:right w:val="nil"/>
          <w:between w:val="nil"/>
          <w:bar w:val="nil"/>
        </w:pBdr>
        <w:spacing w:before="12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Consolidated Balance Sheets (unaudited)</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(Dollars in thousands, except share and per share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bottom w:w="0" w:type="dxa"/>
          <w:right w:w="14" w:type="dxa"/>
        </w:tblCellMar>
      </w:tblPr>
      <w:tblGrid>
        <w:gridCol w:w="6752"/>
        <w:gridCol w:w="161"/>
        <w:gridCol w:w="114"/>
        <w:gridCol w:w="1290"/>
        <w:gridCol w:w="99"/>
        <w:gridCol w:w="161"/>
        <w:gridCol w:w="114"/>
        <w:gridCol w:w="1290"/>
        <w:gridCol w:w="99"/>
      </w:tblGrid>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94"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694"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94"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694"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2025</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Assets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Cash and due from banks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1,283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7,513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Interest-bearing deposits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58,764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47,731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cash and cash equivalents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60,047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55,244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Securities available for sale, at fair value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68,776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47,299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Securities held to maturity, at amortized cost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56,228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57,211</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Federal Home Loan Bank stock, at cost</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6,791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6,278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Loans, net of allowance for credit losses of $4,783 at June 30, 2026 </w:t>
              <w:br/>
              <w:t xml:space="preserve">   and $4,151 at June 30, 2025</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870,773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751,220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Bank owned life insurance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11,397</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10,925</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Premises and equipment, net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5,590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6,418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Accrued interest receivable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4,034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3,327</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deferred tax asset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1,092</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1,212</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Other assets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11,208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10,244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1,095,936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949,378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Liabilities and stockholders' equity</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Non-interest-bearing deposits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63,168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55,696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Interest-bearing deposits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746,068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623,486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Federal Home Loan Bank advances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158,158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147,000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Mortgagors’ escrow accounts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1,809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1,756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Accrued expenses and other liabilities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6,220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6,088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liabilities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975,423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834,026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Commitments and contingencies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Preferred stock, $.01 par value, 5,000,000 shares authorized, none outstanding</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Common stock, $.01 par value, 20,000,000 shares authorized, 9,295,376 issued and outstanding as of June 30, 2026 and June 30, 2025</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Additional paid-in capital</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39,586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39,571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Unearned compensation (ESOP)</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(3,151</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(3,346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Retained earnings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85,141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80,720</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Accumulated other comprehensive loss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(1,156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(1,686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stockholders' equity</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120,513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115,352</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liabilities and stockholders' equity</w:t>
            </w:r>
          </w:p>
        </w:tc>
        <w:tc>
          <w:tcPr>
            <w:tcW w:w="81"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1,095,936</w:t>
            </w:r>
          </w:p>
        </w:tc>
        <w:tc>
          <w:tcPr>
            <w:tcW w:w="50"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949,378</w:t>
            </w:r>
          </w:p>
        </w:tc>
        <w:tc>
          <w:tcPr>
            <w:tcW w:w="50"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bl>
    <w:p>
      <w:pPr>
        <w:keepNext/>
        <w:keepLines w:val="0"/>
        <w:pageBreakBefore/>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Winchester Bancorp, Inc. and Subsidiaries</w:t>
      </w:r>
    </w:p>
    <w:p>
      <w:pPr>
        <w:keepNext/>
        <w:keepLines w:val="0"/>
        <w:pageBreakBefore w:val="0"/>
        <w:widowControl/>
        <w:numPr>
          <w:ilvl w:val="0"/>
          <w:numId w:val="0"/>
        </w:numPr>
        <w:pBdr>
          <w:top w:val="nil"/>
          <w:left w:val="nil"/>
          <w:bottom w:val="nil"/>
          <w:right w:val="nil"/>
          <w:between w:val="nil"/>
          <w:bar w:val="nil"/>
        </w:pBdr>
        <w:spacing w:before="12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Consolidated Statements of Operations (unaudited)</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(Dollars in thousands, except share and per share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bottom w:w="0" w:type="dxa"/>
          <w:right w:w="14" w:type="dxa"/>
        </w:tblCellMar>
      </w:tblPr>
      <w:tblGrid>
        <w:gridCol w:w="6752"/>
        <w:gridCol w:w="161"/>
        <w:gridCol w:w="114"/>
        <w:gridCol w:w="1290"/>
        <w:gridCol w:w="99"/>
        <w:gridCol w:w="161"/>
        <w:gridCol w:w="114"/>
        <w:gridCol w:w="1290"/>
        <w:gridCol w:w="99"/>
      </w:tblGrid>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1519" w:type="pct"/>
            <w:gridSpan w:val="6"/>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Year ended</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1519" w:type="pct"/>
            <w:gridSpan w:val="6"/>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694"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8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694"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2025</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 xml:space="preserve"> </w:t>
            </w:r>
          </w:p>
        </w:tc>
        <w:tc>
          <w:tcPr>
            <w:tcW w:w="1600" w:type="pct"/>
            <w:gridSpan w:val="7"/>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(In thousands, except share data)</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and dividend income: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and fees on loans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43,783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37,528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and dividends on securities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4,678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3,128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on federal funds sold and other interest-bearing deposits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1,919</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2,057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4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interest and dividend income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50,380</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42,713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expense:</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on deposits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19,764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19,115</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 on Federal Home Loan Bank advances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5,623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6,076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4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interest expense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25,387</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25,191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income</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24,993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17,522</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Provision for credit losses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789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2,066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income, after provision for credit losses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24,204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15,456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income: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Customer service fees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773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728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Income on bank owned life insurance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472</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466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Loss on available for sale securities, net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Gain (loss) on marketable equity securities, net</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374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Gain on sale of loans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Miscellaneous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332</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224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4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non-interest income</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1,268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1,792</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expense: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Salaries and employee benefits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11,748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9,688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Occupancy and equipment, net</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1,819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1,579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Data processing</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1,749</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1,368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Deposit insurance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715</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848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Marketing and advertising</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734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462</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periodic pension and post retirement benefit, less service costs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(697</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Other general and administrative</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3,684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4,906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4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non-interest expense</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19,752</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18,778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Income (loss) before income taxes</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5,720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(1,530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Provision (benefit) for income taxes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1,299</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(656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income (loss)</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4,421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(874</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Share Data:</w:t>
            </w: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94"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Average common shares outstanding, basic and diluted</w:t>
            </w: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8,971,061</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4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8,961,476</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349" w:type="pct"/>
            <w:tcBorders>
              <w:top w:val="nil"/>
              <w:left w:val="nil"/>
              <w:bottom w:val="nil"/>
              <w:right w:val="nil"/>
            </w:tcBorders>
            <w:shd w:val="clear" w:color="auto" w:fill="CFF0FC"/>
            <w:vAlign w:val="top"/>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Basic and diluted net income (loss) per share</w:t>
            </w:r>
          </w:p>
        </w:tc>
        <w:tc>
          <w:tcPr>
            <w:tcW w:w="81"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0.49</w:t>
            </w:r>
          </w:p>
        </w:tc>
        <w:tc>
          <w:tcPr>
            <w:tcW w:w="50"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1"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641"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(0.10</w:t>
            </w:r>
          </w:p>
        </w:tc>
        <w:tc>
          <w:tcPr>
            <w:tcW w:w="50" w:type="pct"/>
            <w:tcBorders>
              <w:top w:val="nil"/>
              <w:left w:val="nil"/>
              <w:bottom w:val="nil"/>
              <w:right w:val="nil"/>
            </w:tcBorders>
            <w:shd w:val="clear" w:color="auto" w:fill="CFF0FC"/>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bl>
    <w:p>
      <w:pPr>
        <w:keepNext/>
        <w:keepLines w:val="0"/>
        <w:pageBreakBefore/>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Winchester Bancorp, Inc. and Subsidiaries</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Average Balances and Yields (unaudited)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bottom w:w="0" w:type="dxa"/>
          <w:right w:w="14" w:type="dxa"/>
        </w:tblCellMar>
      </w:tblPr>
      <w:tblGrid>
        <w:gridCol w:w="3289"/>
        <w:gridCol w:w="108"/>
        <w:gridCol w:w="114"/>
        <w:gridCol w:w="862"/>
        <w:gridCol w:w="181"/>
        <w:gridCol w:w="108"/>
        <w:gridCol w:w="114"/>
        <w:gridCol w:w="642"/>
        <w:gridCol w:w="98"/>
        <w:gridCol w:w="99"/>
        <w:gridCol w:w="99"/>
        <w:gridCol w:w="718"/>
        <w:gridCol w:w="248"/>
        <w:gridCol w:w="109"/>
        <w:gridCol w:w="115"/>
        <w:gridCol w:w="863"/>
        <w:gridCol w:w="181"/>
        <w:gridCol w:w="109"/>
        <w:gridCol w:w="114"/>
        <w:gridCol w:w="643"/>
        <w:gridCol w:w="99"/>
        <w:gridCol w:w="99"/>
        <w:gridCol w:w="99"/>
        <w:gridCol w:w="788"/>
        <w:gridCol w:w="181"/>
      </w:tblGrid>
      <w:tr>
        <w:tblPrEx>
          <w:tblW w:w="5000" w:type="pct"/>
        </w:tblPrEx>
        <w:trPr>
          <w:cantSplit/>
          <w:trHeight w:hRule="auto" w:val="0"/>
          <w:tblHeader w:val="0"/>
        </w:trPr>
        <w:tc>
          <w:tcPr>
            <w:tcW w:w="163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3223" w:type="pct"/>
            <w:gridSpan w:val="2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For the Year Ended June 30,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1505" w:type="pct"/>
            <w:gridSpan w:val="10"/>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2026</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5"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1540" w:type="pct"/>
            <w:gridSpan w:val="10"/>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482"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Average</w:t>
              <w:br/>
              <w:t>Outstanding</w:t>
              <w:br/>
              <w:t>Balance</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5"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373"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Interest</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0"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406"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Average</w:t>
              <w:br/>
              <w:t>Yield/Rate</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482"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Average</w:t>
              <w:br/>
              <w:t>Outstanding</w:t>
              <w:br/>
              <w:t>Balance</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5"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373"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Interest</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0"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441"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Average</w:t>
              <w:br/>
              <w:t>Yield/Rate</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3223" w:type="pct"/>
            <w:gridSpan w:val="2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(Dollars in thousands)</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Interest-earning assets: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p>
        </w:tc>
        <w:tc>
          <w:tcPr>
            <w:tcW w:w="482"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Loans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814,169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43,783</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5.38</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725,618</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37,528</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5.17</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Securities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118,400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4,678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5.27</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87,850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3,128</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3.56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Interest-bearing deposits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46,666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1,919</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4.11</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42,473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2,057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4.84</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interest-earning assets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979,235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50,380</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5.14</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855,941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42,713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4.99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Non-interest-earning assets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43,143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39,045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Allowance for credit losses on loans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(4,437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(3,575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assets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1,017,941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891,411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Interest-bearing liabilities: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NOW and demand deposits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55,838</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0.06</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55,520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137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0.25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Savings accounts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154,627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3,263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2.11</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163,597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3,871</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2.37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Money market accounts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197,836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6,337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3.20</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104,832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3,460</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3.30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Certificates of deposit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278,312</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10,130</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3.64</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279,500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11,647</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4.17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interest-bearing deposits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686,613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19,764</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2.88</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603,449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19,115</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3.17</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Borrowings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136,236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5,623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4.13</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139,207</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6,076</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4.36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interest-bearing liabilities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822,849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25,387</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3.09</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742,656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20"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25,191</w:t>
            </w: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3.39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Other non-interest-bearing liabilities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76,756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67,710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liabilities</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899,605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810,366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Stockholders' equity</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118,336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81,045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20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liabilities and stockholders' equity</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1,017,941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891,411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income</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320"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24,993</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320"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17,522</w:t>
            </w: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rate spread (1)</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2.05</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1.60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interest-earning assets (2)</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156,386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429" w:type="pct"/>
            <w:tcBorders>
              <w:top w:val="nil"/>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113,285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margin (3)</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56"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2.55</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82"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91"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1633"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Average interest-earning assets to</w:t>
              <w:br/>
              <w:t xml:space="preserve">   average interest-bearing liabilities</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119.01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06"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29"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115.25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37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441"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163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482"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406"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482"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37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441"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r>
      <w:tr>
        <w:tblPrEx>
          <w:tblW w:w="5000" w:type="pct"/>
        </w:tblPrEx>
        <w:trPr>
          <w:cantSplit/>
          <w:trHeight w:hRule="auto" w:val="0"/>
          <w:tblHeader w:val="0"/>
        </w:trPr>
        <w:tc>
          <w:tcPr>
            <w:tcW w:w="4912" w:type="pct"/>
            <w:gridSpan w:val="24"/>
            <w:tcBorders>
              <w:top w:val="nil"/>
              <w:left w:val="nil"/>
              <w:bottom w:val="nil"/>
              <w:right w:val="nil"/>
            </w:tcBorders>
            <w:shd w:val="clear" w:color="auto" w:fill="FFFFFF"/>
            <w:vAlign w:val="center"/>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 Net interest rate spread represents the difference between the weighted average yield on interest-earning assets and the weighted average rate of interest-bearing liabilities.</w:t>
            </w:r>
          </w:p>
        </w:tc>
        <w:tc>
          <w:tcPr>
            <w:tcW w:w="88" w:type="pct"/>
            <w:tcBorders>
              <w:top w:val="nil"/>
              <w:left w:val="nil"/>
              <w:bottom w:val="nil"/>
              <w:right w:val="nil"/>
            </w:tcBorders>
            <w:shd w:val="clear" w:color="auto" w:fill="FFFFFF"/>
            <w:vAlign w:val="center"/>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4912" w:type="pct"/>
            <w:gridSpan w:val="24"/>
            <w:tcBorders>
              <w:top w:val="nil"/>
              <w:left w:val="nil"/>
              <w:bottom w:val="nil"/>
              <w:right w:val="nil"/>
            </w:tcBorders>
            <w:shd w:val="clear" w:color="auto" w:fill="FFFFFF"/>
            <w:vAlign w:val="center"/>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 Net interest-earning assets represent total interest-earning assets less total interest-bearing liabilities.</w:t>
            </w:r>
          </w:p>
        </w:tc>
        <w:tc>
          <w:tcPr>
            <w:tcW w:w="88" w:type="pct"/>
            <w:tcBorders>
              <w:top w:val="nil"/>
              <w:left w:val="nil"/>
              <w:bottom w:val="nil"/>
              <w:right w:val="nil"/>
            </w:tcBorders>
            <w:shd w:val="clear" w:color="auto" w:fill="FFFFFF"/>
            <w:vAlign w:val="center"/>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4912" w:type="pct"/>
            <w:gridSpan w:val="24"/>
            <w:tcBorders>
              <w:top w:val="nil"/>
              <w:left w:val="nil"/>
              <w:bottom w:val="nil"/>
              <w:right w:val="nil"/>
            </w:tcBorders>
            <w:shd w:val="clear" w:color="auto" w:fill="FFFFFF"/>
            <w:vAlign w:val="center"/>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 Net interest margin represents net interest income divided by average total interest-earning assets.</w:t>
            </w:r>
          </w:p>
        </w:tc>
        <w:tc>
          <w:tcPr>
            <w:tcW w:w="88" w:type="pct"/>
            <w:tcBorders>
              <w:top w:val="nil"/>
              <w:left w:val="nil"/>
              <w:bottom w:val="nil"/>
              <w:right w:val="nil"/>
            </w:tcBorders>
            <w:shd w:val="clear" w:color="auto" w:fill="FFFFFF"/>
            <w:vAlign w:val="center"/>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bl>
    <w:p>
      <w:pPr>
        <w:keepNext/>
        <w:keepLines w:val="0"/>
        <w:pageBreakBefore/>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Winchester Bancorp, Inc. and Subsidiaries</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Selected Financial Highlights (unaudited)</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(Dollars in thousands, except share and per share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bottom w:w="0" w:type="dxa"/>
          <w:right w:w="14" w:type="dxa"/>
        </w:tblCellMar>
      </w:tblPr>
      <w:tblGrid>
        <w:gridCol w:w="6970"/>
        <w:gridCol w:w="134"/>
        <w:gridCol w:w="114"/>
        <w:gridCol w:w="1093"/>
        <w:gridCol w:w="248"/>
        <w:gridCol w:w="135"/>
        <w:gridCol w:w="114"/>
        <w:gridCol w:w="1024"/>
        <w:gridCol w:w="248"/>
      </w:tblGrid>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1410" w:type="pct"/>
            <w:gridSpan w:val="7"/>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For the Year Ended</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603"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568"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603"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568" w:type="pct"/>
            <w:gridSpan w:val="2"/>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2025</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Earnings Data</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Net interest income</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24,993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17,522</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Non-interest income</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1,268</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1,792</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Total net interest income and non-interest income</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26,261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single" w:sz="4"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19,314</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Provision for credit losses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789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2,066</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Non-interest expense</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19,752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18,778</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Pre-tax income (loss)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5,720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(1,530</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Net income (loss)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4,421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(874</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Per share Data</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Basic and diluted earnings per share</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0.49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(0.10</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Book value per share</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13.43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12.41</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Earnings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Return on average assets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0.43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(0.10</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Return on average stockholders' equity</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3.74</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(1.08</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Net interest margin</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2.55</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2.05</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Cost of deposits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2.88</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3.17</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Efficiency ratio</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75.21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97.22</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Balance Sheet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Total assets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1,095,936</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949,378</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Loans, net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870,773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751,220</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Total stockholders' equity</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120,513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115,352</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Asset quality</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Allowance for credit losses (ACL)</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4,783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4,151</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ACL/Total loans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0.55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0.55</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ACL/Total nonperforming loans (NPLs)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286.92</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187.57</w:t>
            </w: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Net charge-offs/average total loans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(0.07</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(0.20</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Capital Ratios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 xml:space="preserve">   Stockholders' equity/total assets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11.00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1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12.15</w:t>
            </w:r>
          </w:p>
        </w:tc>
        <w:tc>
          <w:tcPr>
            <w:tcW w:w="124"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68" w:type="pct"/>
            <w:gridSpan w:val="2"/>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124" w:type="pct"/>
            <w:tcBorders>
              <w:top w:val="nil"/>
              <w:left w:val="nil"/>
              <w:bottom w:val="nil"/>
              <w:right w:val="nil"/>
            </w:tcBorders>
            <w:shd w:val="clear" w:color="auto" w:fill="FFFFFF"/>
            <w:vAlign w:val="bottom"/>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bl>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p>
      <w:pPr>
        <w:keepNext/>
        <w:keepLines w:val="0"/>
        <w:pageBreakBefore/>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Winchester Bancorp, Inc. and Subsidiaries</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Non-GAAP Reconciliation (unaudited)</w:t>
      </w:r>
    </w:p>
    <w:p>
      <w:pPr>
        <w:keepNext/>
        <w:keepLines w:val="0"/>
        <w:pageBreakBefore w:val="0"/>
        <w:widowControl/>
        <w:numPr>
          <w:ilvl w:val="0"/>
          <w:numId w:val="0"/>
        </w:numPr>
        <w:pBdr>
          <w:top w:val="nil"/>
          <w:left w:val="nil"/>
          <w:bottom w:val="nil"/>
          <w:right w:val="nil"/>
          <w:between w:val="nil"/>
          <w:bar w:val="nil"/>
        </w:pBdr>
        <w:spacing w:before="120" w:after="120" w:line="240" w:lineRule="auto"/>
        <w:ind w:left="0" w:right="0" w:firstLine="0"/>
        <w:contextualSpacing w:val="0"/>
        <w:jc w:val="center"/>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(Dollars in thousands, except share and per share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bottom w:w="0" w:type="dxa"/>
          <w:right w:w="14" w:type="dxa"/>
        </w:tblCellMar>
      </w:tblPr>
      <w:tblGrid>
        <w:gridCol w:w="6980"/>
        <w:gridCol w:w="147"/>
        <w:gridCol w:w="114"/>
        <w:gridCol w:w="1105"/>
        <w:gridCol w:w="181"/>
        <w:gridCol w:w="147"/>
        <w:gridCol w:w="114"/>
        <w:gridCol w:w="1111"/>
        <w:gridCol w:w="181"/>
      </w:tblGrid>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r>
              <w:rPr>
                <w:rFonts w:ascii="Times New Roman" w:eastAsia="Times New Roman" w:hAnsi="Times New Roman" w:cs="Times New Roman"/>
                <w:b w:val="0"/>
                <w:i w:val="0"/>
                <w:caps w:val="0"/>
                <w:smallCaps w:val="0"/>
                <w:strike w:val="0"/>
                <w:color w:val="000000"/>
                <w:sz w:val="16"/>
                <w:u w:val="none"/>
                <w:vertAlign w:val="baseline"/>
              </w:rPr>
              <w:t xml:space="preserve"> </w:t>
            </w:r>
          </w:p>
        </w:tc>
        <w:tc>
          <w:tcPr>
            <w:tcW w:w="1445" w:type="pct"/>
            <w:gridSpan w:val="7"/>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Year ended</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p>
        </w:tc>
        <w:tc>
          <w:tcPr>
            <w:tcW w:w="1445" w:type="pct"/>
            <w:gridSpan w:val="7"/>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June 30,</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22"/>
                <w:u w:val="none"/>
                <w:vertAlign w:val="baseline"/>
              </w:rPr>
            </w:pPr>
          </w:p>
        </w:tc>
        <w:tc>
          <w:tcPr>
            <w:tcW w:w="603"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603" w:type="pct"/>
            <w:gridSpan w:val="2"/>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r>
              <w:rPr>
                <w:rFonts w:ascii="Times New Roman" w:eastAsia="Times New Roman" w:hAnsi="Times New Roman" w:cs="Times New Roman"/>
                <w:b/>
                <w:i w:val="0"/>
                <w:caps w:val="0"/>
                <w:smallCaps w:val="0"/>
                <w:strike w:val="0"/>
                <w:color w:val="000000"/>
                <w:sz w:val="16"/>
                <w:u w:val="none"/>
                <w:vertAlign w:val="baseline"/>
              </w:rPr>
              <w:t>2025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income (loss) (GAAP)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4,421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(874</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Add (Subtract):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single" w:sz="4"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expense component: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Winchester Charitable Foundation contribution</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2,259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impact of non-GAAP adjustment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2,259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Less net tax provision (benefit) associated with non-GAAP adjustments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(635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Operating net income (non-GAAP)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4,421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Average common shares outstanding</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double" w:sz="6"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double" w:sz="6"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8,971,061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double" w:sz="6"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double" w:sz="6" w:space="0" w:color="000000"/>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8,817,329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Diluted earnings per share excluding contribution to the Charitable Foundation (non-GAAP)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0.49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0.09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expense (GAAP)</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19,752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18,778</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Add (Subtract):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603" w:type="pct"/>
            <w:gridSpan w:val="2"/>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Winchester Charitable Foundation contribution</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(2,259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impact of non-GAAP noninterest expense adjustments</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single" w:sz="4" w:space="0" w:color="000000"/>
              <w:left w:val="nil"/>
              <w:bottom w:val="single" w:sz="4"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(2,259</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Noninterest expense on an operating basis (non-GAAP)</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19,752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16,519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income (GAAP)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4,421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750</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Average assets</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1,017,941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891,411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Operating return on average assets annualized (non-GAAP)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0.43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0.08</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Average shareholders' equity</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118,336</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81,045</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Operating return on average shareholders' equity (non-GAAP)</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3.74</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0.93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expense on an operating basis (non-GAAP)</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19,752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16,519</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Net interest income</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24,993</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17,522</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Noninterest income on an operating basis (non-GAAP)</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1,268</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nil"/>
              <w:left w:val="nil"/>
              <w:bottom w:val="single" w:sz="4" w:space="0" w:color="000000"/>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1,792</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CFF0FC"/>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Total net interest income and non-interest income</w:t>
            </w: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26,261</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75"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550" w:type="pct"/>
            <w:tcBorders>
              <w:top w:val="single" w:sz="4" w:space="0" w:color="000000"/>
              <w:left w:val="nil"/>
              <w:bottom w:val="double" w:sz="6" w:space="0" w:color="000000"/>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19,314</w:t>
            </w:r>
          </w:p>
        </w:tc>
        <w:tc>
          <w:tcPr>
            <w:tcW w:w="88" w:type="pct"/>
            <w:tcBorders>
              <w:top w:val="nil"/>
              <w:left w:val="nil"/>
              <w:bottom w:val="nil"/>
              <w:right w:val="nil"/>
            </w:tcBorders>
            <w:shd w:val="clear" w:color="auto" w:fill="CFF0FC"/>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20"/>
                <w:u w:val="none"/>
                <w:vertAlign w:val="baseline"/>
              </w:rPr>
            </w:pPr>
            <w:r>
              <w:rPr>
                <w:rFonts w:ascii="Times New Roman" w:eastAsia="Times New Roman" w:hAnsi="Times New Roman" w:cs="Times New Roman"/>
                <w:b/>
                <w:i w:val="0"/>
                <w:caps w:val="0"/>
                <w:smallCaps w:val="0"/>
                <w:strike w:val="0"/>
                <w:color w:val="000000"/>
                <w:sz w:val="20"/>
                <w:u w:val="none"/>
                <w:vertAlign w:val="baseline"/>
              </w:rPr>
              <w:t>Efficiency ratio (non-GAAP) (1)</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75.21</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3" w:type="pct"/>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tc>
        <w:tc>
          <w:tcPr>
            <w:tcW w:w="550" w:type="pct"/>
            <w:tcBorders>
              <w:top w:val="double" w:sz="6" w:space="0" w:color="000000"/>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85.53</w:t>
            </w: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w:t>
            </w:r>
          </w:p>
        </w:tc>
      </w:tr>
      <w:tr>
        <w:tblPrEx>
          <w:tblW w:w="5000" w:type="pct"/>
        </w:tblPrEx>
        <w:trPr>
          <w:cantSplit/>
          <w:trHeight w:hRule="auto" w:val="0"/>
          <w:tblHeader w:val="0"/>
        </w:trPr>
        <w:tc>
          <w:tcPr>
            <w:tcW w:w="3465" w:type="pct"/>
            <w:tcBorders>
              <w:top w:val="nil"/>
              <w:left w:val="nil"/>
              <w:bottom w:val="nil"/>
              <w:right w:val="nil"/>
            </w:tcBorders>
            <w:shd w:val="clear" w:color="auto" w:fill="FFFFFF"/>
            <w:vAlign w:val="top"/>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Calibri" w:eastAsia="Calibri" w:hAnsi="Calibri" w:cs="Calibri"/>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75"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6"/>
                <w:u w:val="none"/>
                <w:vertAlign w:val="baseline"/>
              </w:rPr>
            </w:pPr>
          </w:p>
        </w:tc>
        <w:tc>
          <w:tcPr>
            <w:tcW w:w="603" w:type="pct"/>
            <w:gridSpan w:val="2"/>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c>
          <w:tcPr>
            <w:tcW w:w="88" w:type="pct"/>
            <w:tcBorders>
              <w:top w:val="nil"/>
              <w:left w:val="nil"/>
              <w:bottom w:val="nil"/>
              <w:right w:val="nil"/>
            </w:tcBorders>
            <w:shd w:val="clear" w:color="auto" w:fill="FFFFFF"/>
            <w:vAlign w:val="bottom"/>
          </w:tcPr>
          <w:p>
            <w:pPr>
              <w:keepNext/>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16"/>
                <w:u w:val="none"/>
                <w:vertAlign w:val="baseline"/>
              </w:rPr>
            </w:pPr>
          </w:p>
        </w:tc>
      </w:tr>
      <w:tr>
        <w:tblPrEx>
          <w:tblW w:w="5000" w:type="pct"/>
        </w:tblPrEx>
        <w:trPr>
          <w:cantSplit/>
          <w:trHeight w:hRule="auto" w:val="0"/>
          <w:tblHeader w:val="0"/>
        </w:trPr>
        <w:tc>
          <w:tcPr>
            <w:tcW w:w="4912" w:type="pct"/>
            <w:gridSpan w:val="8"/>
            <w:tcBorders>
              <w:top w:val="nil"/>
              <w:left w:val="nil"/>
              <w:bottom w:val="nil"/>
              <w:right w:val="nil"/>
            </w:tcBorders>
            <w:shd w:val="clear" w:color="auto" w:fill="FFFFFF"/>
            <w:vAlign w:val="top"/>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8"/>
                <w:u w:val="none"/>
                <w:vertAlign w:val="baseline"/>
              </w:rPr>
            </w:pPr>
            <w:r>
              <w:rPr>
                <w:rFonts w:ascii="Times New Roman" w:eastAsia="Times New Roman" w:hAnsi="Times New Roman" w:cs="Times New Roman"/>
                <w:b w:val="0"/>
                <w:i w:val="0"/>
                <w:caps w:val="0"/>
                <w:smallCaps w:val="0"/>
                <w:strike w:val="0"/>
                <w:color w:val="000000"/>
                <w:sz w:val="18"/>
                <w:u w:val="none"/>
                <w:vertAlign w:val="baseline"/>
              </w:rPr>
              <w:t>(1) The efficiency ratio is a non-GAAP measure calculated by dividing non-interest expense by the sum of net interest income and non-interest income</w:t>
            </w:r>
          </w:p>
        </w:tc>
        <w:tc>
          <w:tcPr>
            <w:tcW w:w="88" w:type="pct"/>
            <w:tcBorders>
              <w:top w:val="nil"/>
              <w:left w:val="nil"/>
              <w:bottom w:val="nil"/>
              <w:right w:val="nil"/>
            </w:tcBorders>
            <w:shd w:val="clear" w:color="auto" w:fill="FFFFFF"/>
            <w:vAlign w:val="top"/>
          </w:tcPr>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18"/>
                <w:u w:val="none"/>
                <w:vertAlign w:val="baseline"/>
              </w:rPr>
            </w:pPr>
          </w:p>
        </w:tc>
      </w:tr>
    </w:tbl>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sectPr>
      <w:headerReference w:type="default" r:id="rId5"/>
      <w:footerReference w:type="default" r:id="rId6"/>
      <w:headerReference w:type="first" r:id="rId7"/>
      <w:footerReference w:type="first" r:id="rId8"/>
      <w:type w:val="nextPage"/>
      <w:pgSz w:w="12240" w:h="15840"/>
      <w:pgMar w:top="720" w:right="1440" w:bottom="1440" w:left="720" w:header="288" w:footer="720" w:gutter="0"/>
      <w:pgBorders w:offsetFrom="text">
        <w:top w:val="nil"/>
        <w:left w:val="nil"/>
        <w:bottom w:val="nil"/>
        <w:right w:val="nil"/>
      </w:pgBorders>
      <w:pgNumType w:fmt="decimal" w:start="1"/>
      <w:cols w:space="720"/>
      <w:titlePg/>
      <w:docGrid w:linePitch="360"/>
      <w15:footnoteColumns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center"/>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fldChar w:fldCharType="begin"/>
    </w:r>
    <w:r>
      <w:rPr>
        <w:rFonts w:ascii="Times New Roman" w:eastAsia="Times New Roman" w:hAnsi="Times New Roman" w:cs="Times New Roman"/>
        <w:b w:val="0"/>
        <w:i w:val="0"/>
        <w:caps w:val="0"/>
        <w:smallCaps w:val="0"/>
        <w:strike w:val="0"/>
        <w:color w:val="000000"/>
        <w:sz w:val="20"/>
        <w:u w:val="none"/>
        <w:vertAlign w:val="baseline"/>
      </w:rPr>
      <w:instrText xml:space="preserve"> PAGE </w:instrText>
    </w:r>
    <w:r>
      <w:rPr>
        <w:rFonts w:ascii="Times New Roman" w:eastAsia="Times New Roman" w:hAnsi="Times New Roman" w:cs="Times New Roman"/>
        <w:b w:val="0"/>
        <w:i w:val="0"/>
        <w:caps w:val="0"/>
        <w:smallCaps w:val="0"/>
        <w:strike w:val="0"/>
        <w:color w:val="000000"/>
        <w:sz w:val="20"/>
        <w:u w:val="none"/>
        <w:vertAlign w:val="baseline"/>
      </w:rPr>
      <w:fldChar w:fldCharType="separate"/>
    </w:r>
    <w:r>
      <w:rPr>
        <w:rFonts w:ascii="Times New Roman" w:eastAsia="Times New Roman" w:hAnsi="Times New Roman" w:cs="Times New Roman"/>
        <w:b w:val="0"/>
        <w:i w:val="0"/>
        <w:caps w:val="0"/>
        <w:smallCaps w:val="0"/>
        <w:strike w:val="0"/>
        <w:color w:val="000000"/>
        <w:sz w:val="20"/>
        <w:u w:val="none"/>
        <w:vertAlign w:val="baseline"/>
      </w:rPr>
      <w:t>8</w:t>
    </w:r>
    <w:r>
      <w:rPr>
        <w:rFonts w:ascii="Times New Roman" w:eastAsia="Times New Roman" w:hAnsi="Times New Roman" w:cs="Times New Roman"/>
        <w:b w:val="0"/>
        <w:i w:val="0"/>
        <w:caps w:val="0"/>
        <w:smallCaps w:val="0"/>
        <w:strike w:val="0"/>
        <w:color w:val="000000"/>
        <w:sz w:val="20"/>
        <w:u w:val="none"/>
        <w:vertAlign w:val="baselin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right"/>
      <w:rPr>
        <w:rFonts w:ascii="Times New Roman" w:eastAsia="Times New Roman" w:hAnsi="Times New Roman" w:cs="Times New Roman"/>
        <w:b w:val="0"/>
        <w:i w:val="0"/>
        <w:caps w:val="0"/>
        <w:smallCaps w:val="0"/>
        <w:strike w:val="0"/>
        <w:color w:val="000000"/>
        <w:sz w:val="20"/>
        <w:u w:val="none"/>
        <w:vertAlign w:val="baseline"/>
      </w:rPr>
    </w:pPr>
    <w:r>
      <w:rPr>
        <w:rFonts w:ascii="Times New Roman" w:eastAsia="Times New Roman" w:hAnsi="Times New Roman" w:cs="Times New Roman"/>
        <w:b w:val="0"/>
        <w:i w:val="0"/>
        <w:caps w:val="0"/>
        <w:smallCaps w:val="0"/>
        <w:strike w:val="0"/>
        <w:color w:val="000000"/>
        <w:sz w:val="20"/>
        <w:u w:val="none"/>
        <w:vertAlign w:val="baseline"/>
      </w:rPr>
      <w:t>Exhibit 99.1</w:t>
    </w:r>
  </w:p>
  <w:p>
    <w:pPr>
      <w:keepNext w:val="0"/>
      <w:keepLines w:val="0"/>
      <w:pageBreakBefore w:val="0"/>
      <w:widowControl/>
      <w:numPr>
        <w:ilvl w:val="0"/>
        <w:numId w:val="0"/>
      </w:numPr>
      <w:pBdr>
        <w:top w:val="nil"/>
        <w:left w:val="nil"/>
        <w:bottom w:val="nil"/>
        <w:right w:val="nil"/>
        <w:between w:val="nil"/>
        <w:bar w:val="nil"/>
      </w:pBdr>
      <w:spacing w:before="0" w:after="0" w:line="240" w:lineRule="auto"/>
      <w:ind w:left="0" w:right="0" w:firstLine="0"/>
      <w:contextualSpacing w:val="0"/>
      <w:jc w:val="left"/>
      <w:rPr>
        <w:rFonts w:ascii="Times New Roman" w:eastAsia="Times New Roman" w:hAnsi="Times New Roman" w:cs="Times New Roman"/>
        <w:b w:val="0"/>
        <w:i w:val="0"/>
        <w:caps w:val="0"/>
        <w:smallCaps w:val="0"/>
        <w:strike w:val="0"/>
        <w:color w:val="000000"/>
        <w:sz w:val="20"/>
        <w:u w:val="none"/>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styleLink w:val="bullet-disk-solid-square"/>
    <w:lvl w:ilvl="0">
      <w:start w:val="1"/>
      <w:numFmt w:val="bullet"/>
      <w:lvlText w:val=""/>
      <w:lvlJc w:val="left"/>
      <w:pPr>
        <w:tabs>
          <w:tab w:val="num" w:pos="0"/>
        </w:tabs>
        <w:ind w:left="979" w:hanging="489"/>
      </w:p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1">
    <w:nsid w:val="00000002"/>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2">
    <w:nsid w:val="00000003"/>
    <w:multiLevelType w:val="hybridMultilevel"/>
    <w:tmpl w:val="0000000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4">
    <w:nsid w:val="00000005"/>
    <w:multiLevelType w:val="hybridMultilevel"/>
    <w:tmpl w:val="0000000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6">
    <w:nsid w:val="00000007"/>
    <w:multiLevelType w:val="hybridMultilevel"/>
    <w:tmpl w:val="0000000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8">
    <w:nsid w:val="00000009"/>
    <w:multiLevelType w:val="hybridMultilevel"/>
    <w:tmpl w:val="0000000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A"/>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10">
    <w:nsid w:val="0000000B"/>
    <w:multiLevelType w:val="hybridMultilevel"/>
    <w:tmpl w:val="0000000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12">
    <w:nsid w:val="0000000D"/>
    <w:multiLevelType w:val="hybridMultilevel"/>
    <w:tmpl w:val="0000000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E"/>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14">
    <w:nsid w:val="0000000F"/>
    <w:multiLevelType w:val="hybridMultilevel"/>
    <w:tmpl w:val="0000000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10"/>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
      <w:lvlJc w:val="left"/>
      <w:pPr>
        <w:tabs>
          <w:tab w:val="num" w:pos="0"/>
        </w:tabs>
        <w:ind w:left="4406" w:hanging="489"/>
      </w:pPr>
    </w:lvl>
    <w:lvl w:ilvl="8">
      <w:start w:val="1"/>
      <w:numFmt w:val="bullet"/>
      <w:lvlText w:val=""/>
      <w:lvlJc w:val="left"/>
      <w:pPr>
        <w:tabs>
          <w:tab w:val="num" w:pos="0"/>
        </w:tabs>
        <w:ind w:left="4896" w:hanging="490"/>
      </w:pPr>
    </w:lvl>
  </w:abstractNum>
  <w:abstractNum w:abstractNumId="16">
    <w:nsid w:val="00000011"/>
    <w:multiLevelType w:val="hybridMultilevel"/>
    <w:tmpl w:val="0000001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eastAsia="Times New Roman" w:hAnsi="Times New Roman" w:cs="Times New Roman"/>
      <w:sz w:val="20"/>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0"/>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disk-solid-square">
    <w:name w:val="bullet-disk-solid-squar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