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F4F0" w14:textId="77777777" w:rsidR="00402769" w:rsidRPr="00EC3B5D" w:rsidRDefault="00402769" w:rsidP="00402769">
      <w:pPr>
        <w:spacing w:after="200" w:line="276" w:lineRule="auto"/>
        <w:jc w:val="right"/>
        <w:rPr>
          <w:rFonts w:ascii="Arial" w:eastAsia="MS Mincho" w:hAnsi="Arial" w:cs="Times New Roman"/>
          <w:color w:val="5F5F5F"/>
          <w:spacing w:val="80"/>
          <w:kern w:val="0"/>
          <w:sz w:val="48"/>
          <w:szCs w:val="40"/>
          <w:lang w:eastAsia="ja-JP"/>
          <w14:ligatures w14:val="none"/>
        </w:rPr>
      </w:pPr>
      <w:bookmarkStart w:id="0" w:name="z"/>
      <w:r w:rsidRPr="00EC3B5D">
        <w:rPr>
          <w:rFonts w:ascii="Arial" w:eastAsia="MS Mincho" w:hAnsi="Arial" w:cs="Times New Roman"/>
          <w:noProof/>
          <w:color w:val="5F5F5F"/>
          <w:spacing w:val="80"/>
          <w:kern w:val="0"/>
          <w:sz w:val="48"/>
          <w:szCs w:val="40"/>
          <w14:ligatures w14:val="none"/>
        </w:rPr>
        <w:drawing>
          <wp:inline distT="0" distB="0" distL="0" distR="0" wp14:anchorId="6D857A44" wp14:editId="34B064B6">
            <wp:extent cx="1895635" cy="365760"/>
            <wp:effectExtent l="0" t="0" r="0" b="2540"/>
            <wp:docPr id="960091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91535" name=""/>
                    <pic:cNvPicPr/>
                  </pic:nvPicPr>
                  <pic:blipFill>
                    <a:blip r:embed="rId6"/>
                    <a:stretch>
                      <a:fillRect/>
                    </a:stretch>
                  </pic:blipFill>
                  <pic:spPr>
                    <a:xfrm>
                      <a:off x="0" y="0"/>
                      <a:ext cx="1895635" cy="365760"/>
                    </a:xfrm>
                    <a:prstGeom prst="rect">
                      <a:avLst/>
                    </a:prstGeom>
                  </pic:spPr>
                </pic:pic>
              </a:graphicData>
            </a:graphic>
          </wp:inline>
        </w:drawing>
      </w:r>
    </w:p>
    <w:p w14:paraId="33437255" w14:textId="77777777" w:rsidR="00402769" w:rsidRPr="00EC3B5D" w:rsidRDefault="00402769" w:rsidP="00402769">
      <w:pPr>
        <w:spacing w:after="0" w:line="240" w:lineRule="auto"/>
        <w:rPr>
          <w:rFonts w:ascii="Times New Roman" w:eastAsia="MS Mincho" w:hAnsi="Times New Roman" w:cs="Times New Roman"/>
          <w:b/>
          <w:color w:val="5F5F5F"/>
          <w:spacing w:val="80"/>
          <w:kern w:val="0"/>
          <w:sz w:val="48"/>
          <w:lang w:eastAsia="ja-JP"/>
          <w14:ligatures w14:val="none"/>
        </w:rPr>
      </w:pPr>
      <w:r w:rsidRPr="00EC3B5D">
        <w:rPr>
          <w:rFonts w:ascii="Arial" w:eastAsia="MS Mincho" w:hAnsi="Arial" w:cs="Times New Roman"/>
          <w:color w:val="5F5F5F"/>
          <w:spacing w:val="80"/>
          <w:kern w:val="0"/>
          <w:sz w:val="48"/>
          <w:szCs w:val="40"/>
          <w:lang w:eastAsia="ja-JP"/>
          <w14:ligatures w14:val="none"/>
        </w:rPr>
        <w:t>NEWS RELEASE</w:t>
      </w:r>
      <w:r w:rsidRPr="00EC3B5D">
        <w:rPr>
          <w:rFonts w:ascii="Times New Roman" w:eastAsia="MS Mincho" w:hAnsi="Times New Roman" w:cs="Times New Roman"/>
          <w:b/>
          <w:color w:val="5F5F5F"/>
          <w:spacing w:val="80"/>
          <w:kern w:val="0"/>
          <w:sz w:val="48"/>
          <w:szCs w:val="40"/>
          <w:lang w:eastAsia="ja-JP"/>
          <w14:ligatures w14:val="none"/>
        </w:rPr>
        <w:t xml:space="preserve">        </w:t>
      </w:r>
    </w:p>
    <w:bookmarkEnd w:id="0"/>
    <w:p w14:paraId="3D85E3DF" w14:textId="77777777" w:rsidR="00402769" w:rsidRDefault="00402769" w:rsidP="00402769">
      <w:pPr>
        <w:spacing w:after="0" w:line="240" w:lineRule="auto"/>
        <w:rPr>
          <w:rFonts w:ascii="Arial" w:hAnsi="Arial" w:cs="Arial"/>
          <w:b/>
          <w:bCs/>
          <w:sz w:val="36"/>
          <w:szCs w:val="36"/>
        </w:rPr>
      </w:pPr>
    </w:p>
    <w:p w14:paraId="5483B64E" w14:textId="53F25744" w:rsidR="00402769" w:rsidRPr="00784F4E" w:rsidRDefault="00402769" w:rsidP="00402769">
      <w:pPr>
        <w:spacing w:after="0" w:line="240" w:lineRule="auto"/>
        <w:rPr>
          <w:rFonts w:ascii="Arial" w:hAnsi="Arial" w:cs="Arial"/>
          <w:b/>
          <w:bCs/>
          <w:sz w:val="36"/>
          <w:szCs w:val="36"/>
        </w:rPr>
      </w:pPr>
      <w:r w:rsidRPr="00784F4E">
        <w:rPr>
          <w:rFonts w:ascii="Arial" w:hAnsi="Arial" w:cs="Arial"/>
          <w:b/>
          <w:bCs/>
          <w:sz w:val="36"/>
          <w:szCs w:val="36"/>
        </w:rPr>
        <w:t>The Hartford</w:t>
      </w:r>
      <w:r w:rsidR="00740C04">
        <w:rPr>
          <w:rFonts w:ascii="Arial" w:hAnsi="Arial" w:cs="Arial"/>
          <w:b/>
          <w:bCs/>
          <w:sz w:val="36"/>
          <w:szCs w:val="36"/>
        </w:rPr>
        <w:t xml:space="preserve"> to Announce Fourth Quarter 2025 Earnings on Jan. 29</w:t>
      </w:r>
    </w:p>
    <w:p w14:paraId="5BF5B570" w14:textId="77777777" w:rsidR="00402769" w:rsidRDefault="00402769" w:rsidP="00402769">
      <w:pPr>
        <w:spacing w:after="0" w:line="240" w:lineRule="auto"/>
        <w:rPr>
          <w:rFonts w:ascii="Arial" w:hAnsi="Arial" w:cs="Arial"/>
          <w:sz w:val="22"/>
          <w:szCs w:val="22"/>
        </w:rPr>
      </w:pPr>
    </w:p>
    <w:p w14:paraId="0E372086" w14:textId="4507F43C" w:rsidR="00402769" w:rsidRDefault="00402769" w:rsidP="00C21D89">
      <w:pPr>
        <w:spacing w:after="0" w:line="240" w:lineRule="auto"/>
        <w:rPr>
          <w:rFonts w:ascii="Arial" w:hAnsi="Arial" w:cs="Arial"/>
          <w:sz w:val="22"/>
          <w:szCs w:val="22"/>
        </w:rPr>
      </w:pPr>
      <w:r w:rsidRPr="00B331BC">
        <w:rPr>
          <w:rFonts w:ascii="Arial" w:hAnsi="Arial" w:cs="Arial"/>
          <w:sz w:val="22"/>
          <w:szCs w:val="22"/>
        </w:rPr>
        <w:t xml:space="preserve">HARTFORD, Conn., </w:t>
      </w:r>
      <w:r>
        <w:rPr>
          <w:rFonts w:ascii="Arial" w:hAnsi="Arial" w:cs="Arial"/>
          <w:sz w:val="22"/>
          <w:szCs w:val="22"/>
        </w:rPr>
        <w:t>Jan. 2</w:t>
      </w:r>
      <w:r w:rsidRPr="00B331BC">
        <w:rPr>
          <w:rFonts w:ascii="Arial" w:hAnsi="Arial" w:cs="Arial"/>
          <w:sz w:val="22"/>
          <w:szCs w:val="22"/>
        </w:rPr>
        <w:t>, 202</w:t>
      </w:r>
      <w:r>
        <w:rPr>
          <w:rFonts w:ascii="Arial" w:hAnsi="Arial" w:cs="Arial"/>
          <w:sz w:val="22"/>
          <w:szCs w:val="22"/>
        </w:rPr>
        <w:t xml:space="preserve">6 – The Hartford will release </w:t>
      </w:r>
      <w:r w:rsidR="000B6CDF">
        <w:rPr>
          <w:rFonts w:ascii="Arial" w:hAnsi="Arial" w:cs="Arial"/>
          <w:sz w:val="22"/>
          <w:szCs w:val="22"/>
        </w:rPr>
        <w:t xml:space="preserve">its </w:t>
      </w:r>
      <w:r w:rsidR="00EF4D6D">
        <w:rPr>
          <w:rFonts w:ascii="Arial" w:hAnsi="Arial" w:cs="Arial"/>
          <w:sz w:val="22"/>
          <w:szCs w:val="22"/>
        </w:rPr>
        <w:t>fourth</w:t>
      </w:r>
      <w:r w:rsidR="00C21D89">
        <w:rPr>
          <w:rFonts w:ascii="Arial" w:hAnsi="Arial" w:cs="Arial"/>
          <w:sz w:val="22"/>
          <w:szCs w:val="22"/>
        </w:rPr>
        <w:t xml:space="preserve"> </w:t>
      </w:r>
      <w:r w:rsidR="00EF4D6D">
        <w:rPr>
          <w:rFonts w:ascii="Arial" w:hAnsi="Arial" w:cs="Arial"/>
          <w:sz w:val="22"/>
          <w:szCs w:val="22"/>
        </w:rPr>
        <w:t xml:space="preserve">quarter </w:t>
      </w:r>
      <w:r w:rsidR="00C21D89">
        <w:rPr>
          <w:rFonts w:ascii="Arial" w:hAnsi="Arial" w:cs="Arial"/>
          <w:sz w:val="22"/>
          <w:szCs w:val="22"/>
        </w:rPr>
        <w:t xml:space="preserve">and full year </w:t>
      </w:r>
      <w:r w:rsidR="00EF4D6D">
        <w:rPr>
          <w:rFonts w:ascii="Arial" w:hAnsi="Arial" w:cs="Arial"/>
          <w:sz w:val="22"/>
          <w:szCs w:val="22"/>
        </w:rPr>
        <w:t xml:space="preserve">2025 financial results </w:t>
      </w:r>
      <w:r>
        <w:rPr>
          <w:rFonts w:ascii="Arial" w:hAnsi="Arial" w:cs="Arial"/>
          <w:sz w:val="22"/>
          <w:szCs w:val="22"/>
        </w:rPr>
        <w:t>at approximately 4:15 p.m. EST on Thursday, Jan. 29.</w:t>
      </w:r>
    </w:p>
    <w:p w14:paraId="1CC23D0C" w14:textId="77777777" w:rsidR="00740C04" w:rsidRDefault="00740C04" w:rsidP="00C21D89">
      <w:pPr>
        <w:spacing w:after="0" w:line="240" w:lineRule="auto"/>
        <w:rPr>
          <w:rFonts w:ascii="Arial" w:hAnsi="Arial" w:cs="Arial"/>
          <w:sz w:val="22"/>
          <w:szCs w:val="22"/>
        </w:rPr>
      </w:pPr>
    </w:p>
    <w:p w14:paraId="0A2393F0" w14:textId="748B88D3" w:rsidR="00C21D89" w:rsidRPr="00740C04" w:rsidRDefault="00C21D89" w:rsidP="00087070">
      <w:pPr>
        <w:spacing w:after="0" w:line="240" w:lineRule="auto"/>
        <w:rPr>
          <w:rFonts w:ascii="Arial" w:hAnsi="Arial" w:cs="Arial"/>
          <w:sz w:val="22"/>
          <w:szCs w:val="22"/>
        </w:rPr>
      </w:pPr>
      <w:r>
        <w:rPr>
          <w:rFonts w:ascii="Arial" w:hAnsi="Arial" w:cs="Arial"/>
          <w:sz w:val="22"/>
          <w:szCs w:val="22"/>
        </w:rPr>
        <w:t>The company will host a</w:t>
      </w:r>
      <w:r w:rsidR="00EF4D6D">
        <w:rPr>
          <w:rFonts w:ascii="Arial" w:hAnsi="Arial" w:cs="Arial"/>
          <w:sz w:val="22"/>
          <w:szCs w:val="22"/>
        </w:rPr>
        <w:t xml:space="preserve"> webcast at 9 a.m. EST on Friday, Jan. 30, to discuss the results. </w:t>
      </w:r>
      <w:r w:rsidR="00740C04" w:rsidRPr="00740C04">
        <w:rPr>
          <w:rFonts w:ascii="Arial" w:hAnsi="Arial" w:cs="Arial"/>
          <w:sz w:val="22"/>
          <w:szCs w:val="22"/>
        </w:rPr>
        <w:t xml:space="preserve">The webcast will be available on the investor relations section of the company’s website, </w:t>
      </w:r>
      <w:hyperlink r:id="rId7" w:history="1">
        <w:r w:rsidR="00740C04" w:rsidRPr="00740C04">
          <w:rPr>
            <w:rStyle w:val="Hyperlink"/>
            <w:rFonts w:ascii="Arial" w:hAnsi="Arial" w:cs="Arial"/>
            <w:sz w:val="22"/>
            <w:szCs w:val="22"/>
          </w:rPr>
          <w:t>https://ir.thehartford.com</w:t>
        </w:r>
      </w:hyperlink>
      <w:r w:rsidR="00862DB1">
        <w:rPr>
          <w:rFonts w:ascii="Arial" w:hAnsi="Arial" w:cs="Arial"/>
          <w:sz w:val="22"/>
          <w:szCs w:val="22"/>
        </w:rPr>
        <w:t xml:space="preserve">, and made </w:t>
      </w:r>
      <w:r w:rsidR="00740C04" w:rsidRPr="00740C04">
        <w:rPr>
          <w:rFonts w:ascii="Arial" w:hAnsi="Arial" w:cs="Arial"/>
          <w:sz w:val="22"/>
          <w:szCs w:val="22"/>
        </w:rPr>
        <w:t>available for replay</w:t>
      </w:r>
      <w:r w:rsidR="006E306B">
        <w:rPr>
          <w:rFonts w:ascii="Arial" w:hAnsi="Arial" w:cs="Arial"/>
          <w:sz w:val="22"/>
          <w:szCs w:val="22"/>
        </w:rPr>
        <w:t>,</w:t>
      </w:r>
      <w:r w:rsidR="00862DB1">
        <w:rPr>
          <w:rFonts w:ascii="Arial" w:hAnsi="Arial" w:cs="Arial"/>
          <w:sz w:val="22"/>
          <w:szCs w:val="22"/>
        </w:rPr>
        <w:t xml:space="preserve"> </w:t>
      </w:r>
      <w:r w:rsidR="00740C04" w:rsidRPr="00740C04">
        <w:rPr>
          <w:rFonts w:ascii="Arial" w:hAnsi="Arial" w:cs="Arial"/>
          <w:sz w:val="22"/>
          <w:szCs w:val="22"/>
        </w:rPr>
        <w:t>along with a transcript of the event</w:t>
      </w:r>
      <w:r w:rsidR="006E306B">
        <w:rPr>
          <w:rFonts w:ascii="Arial" w:hAnsi="Arial" w:cs="Arial"/>
          <w:sz w:val="22"/>
          <w:szCs w:val="22"/>
        </w:rPr>
        <w:t>,</w:t>
      </w:r>
      <w:r w:rsidR="00740C04" w:rsidRPr="00740C04">
        <w:rPr>
          <w:rFonts w:ascii="Arial" w:hAnsi="Arial" w:cs="Arial"/>
          <w:sz w:val="22"/>
          <w:szCs w:val="22"/>
        </w:rPr>
        <w:t xml:space="preserve"> for at </w:t>
      </w:r>
      <w:proofErr w:type="gramStart"/>
      <w:r w:rsidR="00740C04" w:rsidRPr="00740C04">
        <w:rPr>
          <w:rFonts w:ascii="Arial" w:hAnsi="Arial" w:cs="Arial"/>
          <w:sz w:val="22"/>
          <w:szCs w:val="22"/>
        </w:rPr>
        <w:t>least one year.</w:t>
      </w:r>
      <w:proofErr w:type="gramEnd"/>
    </w:p>
    <w:p w14:paraId="73E75E7D" w14:textId="77777777" w:rsidR="00402769" w:rsidRPr="00784F4E" w:rsidRDefault="00402769" w:rsidP="00087070">
      <w:pPr>
        <w:spacing w:after="0" w:line="240" w:lineRule="auto"/>
        <w:rPr>
          <w:rFonts w:ascii="Arial" w:hAnsi="Arial" w:cs="Arial"/>
          <w:b/>
          <w:bCs/>
          <w:sz w:val="22"/>
          <w:szCs w:val="22"/>
        </w:rPr>
      </w:pPr>
    </w:p>
    <w:p w14:paraId="0E20D742" w14:textId="77777777" w:rsidR="00402769" w:rsidRDefault="00402769" w:rsidP="00C21D89">
      <w:pPr>
        <w:spacing w:after="0" w:line="240" w:lineRule="auto"/>
        <w:rPr>
          <w:rFonts w:ascii="Arial" w:hAnsi="Arial" w:cs="Arial"/>
          <w:b/>
          <w:bCs/>
          <w:sz w:val="22"/>
          <w:szCs w:val="22"/>
        </w:rPr>
      </w:pPr>
      <w:r w:rsidRPr="009F254E">
        <w:rPr>
          <w:rFonts w:ascii="Arial" w:hAnsi="Arial" w:cs="Arial"/>
          <w:b/>
          <w:bCs/>
          <w:sz w:val="22"/>
          <w:szCs w:val="22"/>
        </w:rPr>
        <w:t xml:space="preserve">About </w:t>
      </w:r>
      <w:proofErr w:type="gramStart"/>
      <w:r w:rsidRPr="009F254E">
        <w:rPr>
          <w:rFonts w:ascii="Arial" w:hAnsi="Arial" w:cs="Arial"/>
          <w:b/>
          <w:bCs/>
          <w:sz w:val="22"/>
          <w:szCs w:val="22"/>
        </w:rPr>
        <w:t>The Hartford</w:t>
      </w:r>
      <w:proofErr w:type="gramEnd"/>
    </w:p>
    <w:p w14:paraId="1CEEAF9C" w14:textId="77777777" w:rsidR="00402769" w:rsidRPr="009F254E" w:rsidRDefault="00402769" w:rsidP="00C21D89">
      <w:pPr>
        <w:spacing w:after="0" w:line="240" w:lineRule="auto"/>
        <w:rPr>
          <w:rFonts w:ascii="Arial" w:hAnsi="Arial" w:cs="Arial"/>
          <w:sz w:val="22"/>
          <w:szCs w:val="22"/>
        </w:rPr>
      </w:pPr>
    </w:p>
    <w:p w14:paraId="0BD3A2BB" w14:textId="77777777" w:rsidR="00402769" w:rsidRDefault="00402769" w:rsidP="00C21D89">
      <w:pPr>
        <w:spacing w:after="0" w:line="240" w:lineRule="auto"/>
        <w:rPr>
          <w:rFonts w:ascii="Arial" w:hAnsi="Arial" w:cs="Arial"/>
          <w:sz w:val="22"/>
          <w:szCs w:val="22"/>
        </w:rPr>
      </w:pPr>
      <w:proofErr w:type="gramStart"/>
      <w:r w:rsidRPr="009F254E">
        <w:rPr>
          <w:rFonts w:ascii="Arial" w:hAnsi="Arial" w:cs="Arial"/>
          <w:sz w:val="22"/>
          <w:szCs w:val="22"/>
        </w:rPr>
        <w:t>The Hartford</w:t>
      </w:r>
      <w:proofErr w:type="gramEnd"/>
      <w:r w:rsidRPr="009F254E">
        <w:rPr>
          <w:rFonts w:ascii="Arial" w:hAnsi="Arial" w:cs="Arial"/>
          <w:sz w:val="22"/>
          <w:szCs w:val="22"/>
        </w:rPr>
        <w:t xml:space="preserve"> is a leader in property and casualty insurance, employee benefits and mutual funds. With more than 200 years of expertise, The Hartford is widely recognized for its service excellence, sustainability practices, trust and integrity. More information on the company and its financial performance is available at </w:t>
      </w:r>
      <w:hyperlink r:id="rId8" w:history="1">
        <w:r w:rsidRPr="00323F29">
          <w:rPr>
            <w:rStyle w:val="Hyperlink"/>
            <w:rFonts w:ascii="Arial" w:hAnsi="Arial" w:cs="Arial"/>
            <w:sz w:val="22"/>
            <w:szCs w:val="22"/>
          </w:rPr>
          <w:t>https://www.thehartford.com</w:t>
        </w:r>
      </w:hyperlink>
      <w:r w:rsidRPr="009F254E">
        <w:rPr>
          <w:rFonts w:ascii="Arial" w:hAnsi="Arial" w:cs="Arial"/>
          <w:sz w:val="22"/>
          <w:szCs w:val="22"/>
        </w:rPr>
        <w:t>.</w:t>
      </w:r>
    </w:p>
    <w:p w14:paraId="5116961B" w14:textId="77777777" w:rsidR="00402769" w:rsidRPr="009F254E" w:rsidRDefault="00402769" w:rsidP="00C21D89">
      <w:pPr>
        <w:spacing w:after="0" w:line="240" w:lineRule="auto"/>
        <w:rPr>
          <w:rFonts w:ascii="Arial" w:hAnsi="Arial" w:cs="Arial"/>
          <w:sz w:val="22"/>
          <w:szCs w:val="22"/>
        </w:rPr>
      </w:pPr>
    </w:p>
    <w:p w14:paraId="6A897029" w14:textId="77777777" w:rsidR="00402769" w:rsidRDefault="00402769" w:rsidP="00C21D89">
      <w:pPr>
        <w:spacing w:after="0" w:line="240" w:lineRule="auto"/>
        <w:rPr>
          <w:rFonts w:ascii="Arial" w:hAnsi="Arial" w:cs="Arial"/>
          <w:sz w:val="22"/>
          <w:szCs w:val="22"/>
        </w:rPr>
      </w:pPr>
      <w:r w:rsidRPr="009F254E">
        <w:rPr>
          <w:rFonts w:ascii="Arial" w:hAnsi="Arial" w:cs="Arial"/>
          <w:sz w:val="22"/>
          <w:szCs w:val="22"/>
        </w:rPr>
        <w:t>The Hartford Insurance Group, Inc., (NYSE: HIG) operates through its subsidiaries under the brand name, The Hartford, and is headquartered in Hartford, Connecticut. For additional details, please read </w:t>
      </w:r>
      <w:hyperlink r:id="rId9" w:history="1">
        <w:r w:rsidRPr="00323F29">
          <w:rPr>
            <w:rStyle w:val="Hyperlink"/>
            <w:rFonts w:ascii="Arial" w:hAnsi="Arial" w:cs="Arial"/>
            <w:sz w:val="22"/>
            <w:szCs w:val="22"/>
          </w:rPr>
          <w:t>The Hartford’s legal notice</w:t>
        </w:r>
      </w:hyperlink>
      <w:r w:rsidRPr="009F254E">
        <w:rPr>
          <w:rFonts w:ascii="Arial" w:hAnsi="Arial" w:cs="Arial"/>
          <w:sz w:val="22"/>
          <w:szCs w:val="22"/>
        </w:rPr>
        <w:t>.</w:t>
      </w:r>
    </w:p>
    <w:p w14:paraId="35A0B361" w14:textId="77777777" w:rsidR="00402769" w:rsidRDefault="00402769" w:rsidP="00C21D89">
      <w:pPr>
        <w:spacing w:after="0" w:line="240" w:lineRule="auto"/>
        <w:rPr>
          <w:rFonts w:ascii="Arial" w:hAnsi="Arial" w:cs="Arial"/>
          <w:sz w:val="22"/>
          <w:szCs w:val="22"/>
        </w:rPr>
      </w:pPr>
    </w:p>
    <w:p w14:paraId="710E6BF3" w14:textId="77777777" w:rsidR="00402769" w:rsidRDefault="00402769" w:rsidP="00C21D89">
      <w:pPr>
        <w:spacing w:after="0" w:line="240" w:lineRule="auto"/>
        <w:rPr>
          <w:rFonts w:ascii="Arial" w:hAnsi="Arial" w:cs="Arial"/>
          <w:sz w:val="22"/>
          <w:szCs w:val="22"/>
        </w:rPr>
      </w:pPr>
      <w:r w:rsidRPr="00D4633D">
        <w:rPr>
          <w:rFonts w:ascii="Arial" w:hAnsi="Arial" w:cs="Arial"/>
          <w:sz w:val="22"/>
          <w:szCs w:val="22"/>
        </w:rPr>
        <w:t>HIG-F</w:t>
      </w:r>
    </w:p>
    <w:p w14:paraId="51502FB4" w14:textId="77777777" w:rsidR="00402769" w:rsidRPr="00D4633D" w:rsidRDefault="00402769" w:rsidP="00C21D89">
      <w:pPr>
        <w:spacing w:after="0" w:line="240" w:lineRule="auto"/>
        <w:rPr>
          <w:rFonts w:ascii="Arial" w:hAnsi="Arial" w:cs="Arial"/>
          <w:sz w:val="22"/>
          <w:szCs w:val="22"/>
        </w:rPr>
      </w:pPr>
    </w:p>
    <w:p w14:paraId="0C42F1EC" w14:textId="77777777" w:rsidR="00402769" w:rsidRDefault="00402769" w:rsidP="00C21D89">
      <w:pPr>
        <w:spacing w:after="0" w:line="240" w:lineRule="auto"/>
        <w:rPr>
          <w:rFonts w:ascii="Arial" w:hAnsi="Arial" w:cs="Arial"/>
          <w:sz w:val="16"/>
          <w:szCs w:val="16"/>
        </w:rPr>
      </w:pPr>
      <w:r w:rsidRPr="009D2905">
        <w:rPr>
          <w:rFonts w:ascii="Arial" w:hAnsi="Arial" w:cs="Arial"/>
          <w:sz w:val="16"/>
          <w:szCs w:val="16"/>
        </w:rPr>
        <w:t>Some of the statements in this release may be considered forward-looking statements as defined in the Private Securities Litigation Reform Act of 1995. We caution investors that these forward-looking statements are not guarantees of future performance, and actual results may differ materially.  Investors should consider the important risks and uncertainties that may cause actual results to differ. These important risks and uncertainties include those discussed in our</w:t>
      </w:r>
      <w:r>
        <w:rPr>
          <w:rFonts w:ascii="Arial" w:hAnsi="Arial" w:cs="Arial"/>
          <w:sz w:val="16"/>
          <w:szCs w:val="16"/>
        </w:rPr>
        <w:t xml:space="preserve"> 2024 </w:t>
      </w:r>
      <w:r w:rsidRPr="00CB5EC5">
        <w:rPr>
          <w:rFonts w:ascii="Arial" w:hAnsi="Arial" w:cs="Arial"/>
          <w:sz w:val="16"/>
          <w:szCs w:val="16"/>
        </w:rPr>
        <w:t>Annual Report on Form 10-K</w:t>
      </w:r>
      <w:r w:rsidRPr="009D2905">
        <w:rPr>
          <w:rFonts w:ascii="Arial" w:hAnsi="Arial" w:cs="Arial"/>
          <w:sz w:val="16"/>
          <w:szCs w:val="16"/>
        </w:rPr>
        <w:t>, subsequent Quarterly Reports on Forms 10-Q, and the other filings we make with the Securities and Exchange Commission. We assume no obligation to update this release, which speaks as of the date issued.</w:t>
      </w:r>
    </w:p>
    <w:p w14:paraId="7F47A2ED" w14:textId="77777777" w:rsidR="00402769" w:rsidRPr="009D2905" w:rsidRDefault="00402769" w:rsidP="00C21D89">
      <w:pPr>
        <w:spacing w:after="0" w:line="240" w:lineRule="auto"/>
        <w:rPr>
          <w:rFonts w:ascii="Arial" w:hAnsi="Arial" w:cs="Arial"/>
          <w:sz w:val="16"/>
          <w:szCs w:val="16"/>
        </w:rPr>
      </w:pPr>
    </w:p>
    <w:p w14:paraId="7A426723" w14:textId="77777777" w:rsidR="00402769" w:rsidRDefault="00402769" w:rsidP="00C21D89">
      <w:pPr>
        <w:spacing w:after="0" w:line="240" w:lineRule="auto"/>
        <w:rPr>
          <w:rFonts w:ascii="Arial" w:hAnsi="Arial" w:cs="Arial"/>
          <w:b/>
          <w:bCs/>
          <w:sz w:val="22"/>
          <w:szCs w:val="22"/>
        </w:rPr>
      </w:pPr>
      <w:r w:rsidRPr="009D2905">
        <w:rPr>
          <w:rFonts w:ascii="Arial" w:hAnsi="Arial" w:cs="Arial"/>
          <w:sz w:val="16"/>
          <w:szCs w:val="16"/>
        </w:rPr>
        <w:t>From time to time, The Hartford may use its website and/or social media channels to disseminate material company information. Financial and other important information regarding The Hartford is routinely accessible through and posted on our website at </w:t>
      </w:r>
      <w:hyperlink r:id="rId10" w:history="1">
        <w:r w:rsidRPr="009D2905">
          <w:rPr>
            <w:rStyle w:val="Hyperlink"/>
            <w:rFonts w:ascii="Arial" w:hAnsi="Arial" w:cs="Arial"/>
            <w:b/>
            <w:bCs/>
            <w:sz w:val="16"/>
            <w:szCs w:val="16"/>
          </w:rPr>
          <w:t>https://ir.thehartford.com</w:t>
        </w:r>
      </w:hyperlink>
      <w:r w:rsidRPr="009D2905">
        <w:rPr>
          <w:rFonts w:ascii="Arial" w:hAnsi="Arial" w:cs="Arial"/>
          <w:sz w:val="16"/>
          <w:szCs w:val="16"/>
        </w:rPr>
        <w:t>. In addition, you may automatically receive email alerts and other information about The Hartford when you enroll your email address by visiting the “Email Alerts” section at </w:t>
      </w:r>
      <w:hyperlink r:id="rId11" w:history="1">
        <w:r w:rsidRPr="009D2905">
          <w:rPr>
            <w:rStyle w:val="Hyperlink"/>
            <w:rFonts w:ascii="Arial" w:hAnsi="Arial" w:cs="Arial"/>
            <w:b/>
            <w:bCs/>
            <w:sz w:val="16"/>
            <w:szCs w:val="16"/>
          </w:rPr>
          <w:t>https://ir.thehartford.com</w:t>
        </w:r>
      </w:hyperlink>
      <w:r w:rsidRPr="009D2905">
        <w:rPr>
          <w:rFonts w:ascii="Arial" w:hAnsi="Arial" w:cs="Arial"/>
          <w:sz w:val="16"/>
          <w:szCs w:val="16"/>
        </w:rPr>
        <w:t>.</w:t>
      </w:r>
    </w:p>
    <w:p w14:paraId="607BB275" w14:textId="77777777" w:rsidR="00402769" w:rsidRDefault="00402769" w:rsidP="00C21D89">
      <w:pPr>
        <w:spacing w:after="0" w:line="240" w:lineRule="auto"/>
        <w:rPr>
          <w:rFonts w:ascii="Arial" w:hAnsi="Arial" w:cs="Arial"/>
          <w:b/>
          <w:bCs/>
          <w:sz w:val="22"/>
          <w:szCs w:val="22"/>
        </w:rPr>
      </w:pPr>
    </w:p>
    <w:p w14:paraId="047A1F61" w14:textId="77777777" w:rsidR="00402769" w:rsidRPr="00615C2D" w:rsidRDefault="00402769" w:rsidP="00C21D89">
      <w:pPr>
        <w:spacing w:after="0" w:line="240" w:lineRule="auto"/>
        <w:rPr>
          <w:rFonts w:ascii="Arial" w:eastAsia="MS Mincho" w:hAnsi="Arial" w:cs="Arial"/>
          <w:b/>
          <w:sz w:val="22"/>
          <w:szCs w:val="22"/>
          <w:lang w:eastAsia="ja-JP"/>
        </w:rPr>
      </w:pPr>
      <w:r w:rsidRPr="00615C2D">
        <w:rPr>
          <w:rFonts w:ascii="Arial" w:eastAsia="MS Mincho" w:hAnsi="Arial" w:cs="Arial"/>
          <w:b/>
          <w:sz w:val="22"/>
          <w:szCs w:val="22"/>
          <w:lang w:eastAsia="ja-JP"/>
        </w:rPr>
        <w:t>Media Contact:</w:t>
      </w:r>
      <w:r w:rsidRPr="00615C2D">
        <w:rPr>
          <w:rFonts w:ascii="Arial" w:eastAsia="MS Mincho" w:hAnsi="Arial" w:cs="Arial"/>
          <w:b/>
          <w:sz w:val="22"/>
          <w:szCs w:val="22"/>
          <w:lang w:eastAsia="ja-JP"/>
        </w:rPr>
        <w:tab/>
      </w:r>
      <w:r w:rsidRPr="00615C2D">
        <w:rPr>
          <w:rFonts w:ascii="Arial" w:eastAsia="MS Mincho" w:hAnsi="Arial" w:cs="Arial"/>
          <w:b/>
          <w:sz w:val="22"/>
          <w:szCs w:val="22"/>
          <w:lang w:eastAsia="ja-JP"/>
        </w:rPr>
        <w:tab/>
      </w:r>
      <w:r w:rsidRPr="00615C2D">
        <w:rPr>
          <w:rFonts w:ascii="Arial" w:eastAsia="MS Mincho" w:hAnsi="Arial" w:cs="Arial"/>
          <w:b/>
          <w:sz w:val="22"/>
          <w:szCs w:val="22"/>
          <w:lang w:eastAsia="ja-JP"/>
        </w:rPr>
        <w:tab/>
      </w:r>
      <w:r w:rsidRPr="00615C2D">
        <w:rPr>
          <w:rFonts w:ascii="Arial" w:eastAsia="MS Mincho" w:hAnsi="Arial" w:cs="Arial"/>
          <w:b/>
          <w:sz w:val="22"/>
          <w:szCs w:val="22"/>
          <w:lang w:eastAsia="ja-JP"/>
        </w:rPr>
        <w:tab/>
        <w:t>Investor Contact:</w:t>
      </w:r>
    </w:p>
    <w:p w14:paraId="5C127CCA" w14:textId="77777777" w:rsidR="00402769" w:rsidRPr="00615C2D" w:rsidRDefault="00402769" w:rsidP="00C21D89">
      <w:pPr>
        <w:spacing w:after="0" w:line="240" w:lineRule="auto"/>
        <w:rPr>
          <w:rFonts w:ascii="Arial" w:eastAsia="MS Mincho" w:hAnsi="Arial" w:cs="Arial"/>
          <w:sz w:val="22"/>
          <w:szCs w:val="22"/>
          <w:lang w:eastAsia="ja-JP"/>
        </w:rPr>
      </w:pPr>
      <w:r w:rsidRPr="00615C2D">
        <w:rPr>
          <w:rFonts w:ascii="Arial" w:eastAsia="MS Mincho" w:hAnsi="Arial" w:cs="Arial"/>
          <w:sz w:val="22"/>
          <w:szCs w:val="22"/>
          <w:lang w:eastAsia="ja-JP"/>
        </w:rPr>
        <w:t>Matthew Sturdevant</w:t>
      </w:r>
      <w:r w:rsidRPr="00615C2D">
        <w:rPr>
          <w:rFonts w:ascii="Arial" w:eastAsia="MS Mincho" w:hAnsi="Arial" w:cs="Arial"/>
          <w:sz w:val="22"/>
          <w:szCs w:val="22"/>
          <w:lang w:eastAsia="ja-JP"/>
        </w:rPr>
        <w:tab/>
      </w:r>
      <w:r w:rsidRPr="00615C2D">
        <w:rPr>
          <w:rFonts w:ascii="Arial" w:eastAsia="MS Mincho" w:hAnsi="Arial" w:cs="Arial"/>
          <w:sz w:val="22"/>
          <w:szCs w:val="22"/>
          <w:lang w:eastAsia="ja-JP"/>
        </w:rPr>
        <w:tab/>
      </w:r>
      <w:r w:rsidRPr="00615C2D">
        <w:rPr>
          <w:rFonts w:ascii="Arial" w:eastAsia="MS Mincho" w:hAnsi="Arial" w:cs="Arial"/>
          <w:sz w:val="22"/>
          <w:szCs w:val="22"/>
          <w:lang w:eastAsia="ja-JP"/>
        </w:rPr>
        <w:tab/>
      </w:r>
      <w:r w:rsidRPr="00615C2D">
        <w:rPr>
          <w:rFonts w:ascii="Arial" w:eastAsia="MS Mincho" w:hAnsi="Arial" w:cs="Arial"/>
          <w:sz w:val="22"/>
          <w:szCs w:val="22"/>
          <w:lang w:eastAsia="ja-JP"/>
        </w:rPr>
        <w:tab/>
      </w:r>
      <w:r w:rsidRPr="00615C2D">
        <w:rPr>
          <w:rFonts w:ascii="Arial" w:eastAsia="Arial" w:hAnsi="Arial" w:cs="Arial"/>
          <w:sz w:val="22"/>
          <w:szCs w:val="22"/>
        </w:rPr>
        <w:t>Kate Jorens</w:t>
      </w:r>
      <w:r w:rsidRPr="00615C2D">
        <w:rPr>
          <w:rFonts w:ascii="Arial" w:eastAsia="MS Mincho" w:hAnsi="Arial" w:cs="Arial"/>
          <w:sz w:val="22"/>
          <w:szCs w:val="22"/>
          <w:lang w:eastAsia="ja-JP"/>
        </w:rPr>
        <w:tab/>
      </w:r>
    </w:p>
    <w:p w14:paraId="4C4A4632" w14:textId="77777777" w:rsidR="00402769" w:rsidRPr="00615C2D" w:rsidRDefault="00402769" w:rsidP="00C21D89">
      <w:pPr>
        <w:spacing w:after="0" w:line="240" w:lineRule="auto"/>
        <w:rPr>
          <w:rFonts w:ascii="Arial" w:eastAsia="MS Mincho" w:hAnsi="Arial" w:cs="Arial"/>
          <w:sz w:val="22"/>
          <w:szCs w:val="22"/>
          <w:lang w:eastAsia="ja-JP"/>
        </w:rPr>
      </w:pPr>
      <w:r w:rsidRPr="00615C2D">
        <w:rPr>
          <w:rFonts w:ascii="Arial" w:eastAsia="MS Mincho" w:hAnsi="Arial" w:cs="Arial"/>
          <w:sz w:val="22"/>
          <w:szCs w:val="22"/>
          <w:lang w:eastAsia="ja-JP"/>
        </w:rPr>
        <w:t>860-547-8664</w:t>
      </w:r>
      <w:r w:rsidRPr="00615C2D">
        <w:rPr>
          <w:rFonts w:ascii="Arial" w:eastAsia="MS Mincho" w:hAnsi="Arial" w:cs="Arial"/>
          <w:sz w:val="22"/>
          <w:szCs w:val="22"/>
          <w:lang w:eastAsia="ja-JP"/>
        </w:rPr>
        <w:tab/>
      </w:r>
      <w:r w:rsidRPr="00615C2D">
        <w:rPr>
          <w:rFonts w:ascii="Arial" w:eastAsia="MS Mincho" w:hAnsi="Arial" w:cs="Arial"/>
          <w:sz w:val="22"/>
          <w:szCs w:val="22"/>
          <w:lang w:eastAsia="ja-JP"/>
        </w:rPr>
        <w:tab/>
      </w:r>
      <w:r w:rsidRPr="00615C2D">
        <w:rPr>
          <w:rFonts w:ascii="Arial" w:eastAsia="MS Mincho" w:hAnsi="Arial" w:cs="Arial"/>
          <w:sz w:val="22"/>
          <w:szCs w:val="22"/>
          <w:lang w:eastAsia="ja-JP"/>
        </w:rPr>
        <w:tab/>
      </w:r>
      <w:r w:rsidRPr="00615C2D">
        <w:rPr>
          <w:rFonts w:ascii="Arial" w:eastAsia="MS Mincho" w:hAnsi="Arial" w:cs="Arial"/>
          <w:sz w:val="22"/>
          <w:szCs w:val="22"/>
          <w:lang w:eastAsia="ja-JP"/>
        </w:rPr>
        <w:tab/>
      </w:r>
      <w:r>
        <w:rPr>
          <w:rFonts w:ascii="Arial" w:eastAsia="MS Mincho" w:hAnsi="Arial" w:cs="Arial"/>
          <w:sz w:val="22"/>
          <w:szCs w:val="22"/>
          <w:lang w:eastAsia="ja-JP"/>
        </w:rPr>
        <w:tab/>
      </w:r>
      <w:r w:rsidRPr="00615C2D">
        <w:rPr>
          <w:rFonts w:ascii="Arial" w:eastAsia="MS Mincho" w:hAnsi="Arial" w:cs="Arial"/>
          <w:sz w:val="22"/>
          <w:szCs w:val="22"/>
          <w:lang w:eastAsia="ja-JP"/>
        </w:rPr>
        <w:t>860-547-4066</w:t>
      </w:r>
    </w:p>
    <w:p w14:paraId="5873CCD2" w14:textId="77777777" w:rsidR="00402769" w:rsidRPr="00323F29" w:rsidRDefault="00402769" w:rsidP="00C21D89">
      <w:pPr>
        <w:spacing w:after="0" w:line="240" w:lineRule="auto"/>
        <w:rPr>
          <w:rFonts w:ascii="Arial" w:hAnsi="Arial" w:cs="Arial"/>
          <w:sz w:val="22"/>
          <w:szCs w:val="22"/>
        </w:rPr>
        <w:sectPr w:rsidR="00402769" w:rsidRPr="00323F29" w:rsidSect="00402769">
          <w:footerReference w:type="even" r:id="rId12"/>
          <w:footerReference w:type="default" r:id="rId13"/>
          <w:footerReference w:type="first" r:id="rId14"/>
          <w:pgSz w:w="12240" w:h="15840"/>
          <w:pgMar w:top="1440" w:right="1440" w:bottom="1440" w:left="1440" w:header="720" w:footer="720" w:gutter="0"/>
          <w:cols w:space="720"/>
          <w:docGrid w:linePitch="360"/>
        </w:sectPr>
      </w:pPr>
      <w:hyperlink r:id="rId15" w:history="1">
        <w:r w:rsidRPr="00615C2D">
          <w:rPr>
            <w:rStyle w:val="Hyperlink"/>
            <w:rFonts w:ascii="Arial" w:hAnsi="Arial" w:cs="Arial"/>
            <w:sz w:val="22"/>
            <w:szCs w:val="22"/>
          </w:rPr>
          <w:t>matthew.sturdevant@thehartford.com</w:t>
        </w:r>
      </w:hyperlink>
      <w:r w:rsidRPr="00615C2D">
        <w:rPr>
          <w:rFonts w:ascii="Arial" w:hAnsi="Arial" w:cs="Arial"/>
          <w:sz w:val="22"/>
          <w:szCs w:val="22"/>
        </w:rPr>
        <w:t xml:space="preserve"> </w:t>
      </w:r>
      <w:r w:rsidRPr="00615C2D">
        <w:rPr>
          <w:rFonts w:ascii="Arial" w:eastAsia="MS Mincho" w:hAnsi="Arial" w:cs="Arial"/>
          <w:sz w:val="22"/>
          <w:szCs w:val="22"/>
          <w:lang w:eastAsia="ja-JP"/>
        </w:rPr>
        <w:tab/>
      </w:r>
      <w:hyperlink r:id="rId16" w:history="1">
        <w:r w:rsidRPr="00615C2D">
          <w:rPr>
            <w:rStyle w:val="Hyperlink"/>
            <w:rFonts w:ascii="Arial" w:eastAsia="Arial" w:hAnsi="Arial" w:cs="Arial"/>
            <w:sz w:val="22"/>
            <w:szCs w:val="22"/>
          </w:rPr>
          <w:t>kate.jorens@thehartford.com</w:t>
        </w:r>
      </w:hyperlink>
    </w:p>
    <w:p w14:paraId="1046A1F8" w14:textId="77777777" w:rsidR="00EB2B75" w:rsidRDefault="00EB2B75" w:rsidP="00C21D89"/>
    <w:sectPr w:rsidR="00EB2B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24F5" w14:textId="77777777" w:rsidR="00421703" w:rsidRDefault="00421703" w:rsidP="006E306B">
      <w:pPr>
        <w:spacing w:after="0" w:line="240" w:lineRule="auto"/>
      </w:pPr>
      <w:r>
        <w:separator/>
      </w:r>
    </w:p>
  </w:endnote>
  <w:endnote w:type="continuationSeparator" w:id="0">
    <w:p w14:paraId="7FD13506" w14:textId="77777777" w:rsidR="00421703" w:rsidRDefault="00421703" w:rsidP="006E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3C24" w14:textId="344415C0" w:rsidR="00402769" w:rsidRDefault="006E306B">
    <w:pPr>
      <w:pStyle w:val="Footer"/>
    </w:pPr>
    <w:r>
      <w:rPr>
        <w:noProof/>
      </w:rPr>
      <mc:AlternateContent>
        <mc:Choice Requires="wps">
          <w:drawing>
            <wp:anchor distT="0" distB="0" distL="0" distR="0" simplePos="0" relativeHeight="251659264" behindDoc="0" locked="0" layoutInCell="1" allowOverlap="1" wp14:anchorId="33032C0F" wp14:editId="38FE8873">
              <wp:simplePos x="635" y="635"/>
              <wp:positionH relativeFrom="page">
                <wp:align>center</wp:align>
              </wp:positionH>
              <wp:positionV relativeFrom="page">
                <wp:align>bottom</wp:align>
              </wp:positionV>
              <wp:extent cx="5097145" cy="298450"/>
              <wp:effectExtent l="0" t="0" r="8255" b="0"/>
              <wp:wrapNone/>
              <wp:docPr id="2057158481" name="Text Box 2" descr="© 2025 The Hartford. Classification: Company Confidential. No part of this document may be reproduced, published, or used without the permission of The Hartfo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7145" cy="298450"/>
                      </a:xfrm>
                      <a:prstGeom prst="rect">
                        <a:avLst/>
                      </a:prstGeom>
                      <a:noFill/>
                      <a:ln>
                        <a:noFill/>
                      </a:ln>
                    </wps:spPr>
                    <wps:txbx>
                      <w:txbxContent>
                        <w:p w14:paraId="665D6864" w14:textId="287A9EFE" w:rsidR="006E306B" w:rsidRPr="006E306B" w:rsidRDefault="006E306B" w:rsidP="006E306B">
                          <w:pPr>
                            <w:spacing w:after="0"/>
                            <w:rPr>
                              <w:rFonts w:ascii="Calibri" w:eastAsia="Calibri" w:hAnsi="Calibri" w:cs="Calibri"/>
                              <w:noProof/>
                              <w:color w:val="000000"/>
                              <w:sz w:val="12"/>
                              <w:szCs w:val="12"/>
                            </w:rPr>
                          </w:pPr>
                          <w:r w:rsidRPr="006E306B">
                            <w:rPr>
                              <w:rFonts w:ascii="Calibri" w:eastAsia="Calibri" w:hAnsi="Calibri" w:cs="Calibri"/>
                              <w:noProof/>
                              <w:color w:val="000000"/>
                              <w:sz w:val="12"/>
                              <w:szCs w:val="12"/>
                            </w:rPr>
                            <w:t>© 2025 The Hartford. Classification: Company Confidential. No part of this document may be reproduced, published, or used without the permission of The Hartford.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32C0F" id="_x0000_t202" coordsize="21600,21600" o:spt="202" path="m,l,21600r21600,l21600,xe">
              <v:stroke joinstyle="miter"/>
              <v:path gradientshapeok="t" o:connecttype="rect"/>
            </v:shapetype>
            <v:shape id="Text Box 2" o:spid="_x0000_s1026" type="#_x0000_t202" alt="© 2025 The Hartford. Classification: Company Confidential. No part of this document may be reproduced, published, or used without the permission of The Hartford." style="position:absolute;margin-left:0;margin-top:0;width:401.35pt;height:2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" filled="f" stroked="f">
              <v:fill o:detectmouseclick="t"/>
              <v:textbox style="mso-fit-shape-to-text:t" inset="0,0,0,15pt">
                <w:txbxContent>
                  <w:p w14:paraId="665D6864" w14:textId="287A9EFE" w:rsidR="006E306B" w:rsidRPr="006E306B" w:rsidRDefault="006E306B" w:rsidP="006E306B">
                    <w:pPr>
                      <w:spacing w:after="0"/>
                      <w:rPr>
                        <w:rFonts w:ascii="Calibri" w:eastAsia="Calibri" w:hAnsi="Calibri" w:cs="Calibri"/>
                        <w:noProof/>
                        <w:color w:val="000000"/>
                        <w:sz w:val="12"/>
                        <w:szCs w:val="12"/>
                      </w:rPr>
                    </w:pPr>
                    <w:r w:rsidRPr="006E306B">
                      <w:rPr>
                        <w:rFonts w:ascii="Calibri" w:eastAsia="Calibri" w:hAnsi="Calibri" w:cs="Calibri"/>
                        <w:noProof/>
                        <w:color w:val="000000"/>
                        <w:sz w:val="12"/>
                        <w:szCs w:val="12"/>
                      </w:rPr>
                      <w:t>© 2025 The Hartford. Classification: Company Confidential. No part of this document may be reproduced, published, or used without the permission of The Hartford.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730F" w14:textId="0CBBFBBB" w:rsidR="00402769" w:rsidRDefault="006E306B">
    <w:pPr>
      <w:pStyle w:val="Footer"/>
    </w:pPr>
    <w:r>
      <w:rPr>
        <w:noProof/>
      </w:rPr>
      <mc:AlternateContent>
        <mc:Choice Requires="wps">
          <w:drawing>
            <wp:anchor distT="0" distB="0" distL="0" distR="0" simplePos="0" relativeHeight="251660288" behindDoc="0" locked="0" layoutInCell="1" allowOverlap="1" wp14:anchorId="22B4F48D" wp14:editId="67CC8CF6">
              <wp:simplePos x="635" y="635"/>
              <wp:positionH relativeFrom="page">
                <wp:align>center</wp:align>
              </wp:positionH>
              <wp:positionV relativeFrom="page">
                <wp:align>bottom</wp:align>
              </wp:positionV>
              <wp:extent cx="5097145" cy="298450"/>
              <wp:effectExtent l="0" t="0" r="8255" b="0"/>
              <wp:wrapNone/>
              <wp:docPr id="1430159995" name="Text Box 3" descr="© 2025 The Hartford. Classification: Company Confidential. No part of this document may be reproduced, published, or used without the permission of The Hartfo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7145" cy="298450"/>
                      </a:xfrm>
                      <a:prstGeom prst="rect">
                        <a:avLst/>
                      </a:prstGeom>
                      <a:noFill/>
                      <a:ln>
                        <a:noFill/>
                      </a:ln>
                    </wps:spPr>
                    <wps:txbx>
                      <w:txbxContent>
                        <w:p w14:paraId="615A8E9A" w14:textId="6A1D8E7F" w:rsidR="006E306B" w:rsidRPr="006E306B" w:rsidRDefault="006E306B" w:rsidP="006E306B">
                          <w:pPr>
                            <w:spacing w:after="0"/>
                            <w:rPr>
                              <w:rFonts w:ascii="Calibri" w:eastAsia="Calibri" w:hAnsi="Calibri" w:cs="Calibri"/>
                              <w:noProof/>
                              <w:color w:val="000000"/>
                              <w:sz w:val="12"/>
                              <w:szCs w:val="12"/>
                            </w:rPr>
                          </w:pPr>
                          <w:r w:rsidRPr="006E306B">
                            <w:rPr>
                              <w:rFonts w:ascii="Calibri" w:eastAsia="Calibri" w:hAnsi="Calibri" w:cs="Calibri"/>
                              <w:noProof/>
                              <w:color w:val="000000"/>
                              <w:sz w:val="12"/>
                              <w:szCs w:val="12"/>
                            </w:rPr>
                            <w:t>© 2025 The Hartford. Classification: Company Confidential. No part of this document may be reproduced, published, or used without the permission of The Hartford.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4F48D" id="_x0000_t202" coordsize="21600,21600" o:spt="202" path="m,l,21600r21600,l21600,xe">
              <v:stroke joinstyle="miter"/>
              <v:path gradientshapeok="t" o:connecttype="rect"/>
            </v:shapetype>
            <v:shape id="Text Box 3" o:spid="_x0000_s1027" type="#_x0000_t202" alt="© 2025 The Hartford. Classification: Company Confidential. No part of this document may be reproduced, published, or used without the permission of The Hartford." style="position:absolute;margin-left:0;margin-top:0;width:401.35pt;height:2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" filled="f" stroked="f">
              <v:fill o:detectmouseclick="t"/>
              <v:textbox style="mso-fit-shape-to-text:t" inset="0,0,0,15pt">
                <w:txbxContent>
                  <w:p w14:paraId="615A8E9A" w14:textId="6A1D8E7F" w:rsidR="006E306B" w:rsidRPr="006E306B" w:rsidRDefault="006E306B" w:rsidP="006E306B">
                    <w:pPr>
                      <w:spacing w:after="0"/>
                      <w:rPr>
                        <w:rFonts w:ascii="Calibri" w:eastAsia="Calibri" w:hAnsi="Calibri" w:cs="Calibri"/>
                        <w:noProof/>
                        <w:color w:val="000000"/>
                        <w:sz w:val="12"/>
                        <w:szCs w:val="12"/>
                      </w:rPr>
                    </w:pPr>
                    <w:r w:rsidRPr="006E306B">
                      <w:rPr>
                        <w:rFonts w:ascii="Calibri" w:eastAsia="Calibri" w:hAnsi="Calibri" w:cs="Calibri"/>
                        <w:noProof/>
                        <w:color w:val="000000"/>
                        <w:sz w:val="12"/>
                        <w:szCs w:val="12"/>
                      </w:rPr>
                      <w:t>© 2025 The Hartford. Classification: Company Confidential. No part of this document may be reproduced, published, or used without the permission of The Hartford.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D9E" w14:textId="52499DCF" w:rsidR="00402769" w:rsidRDefault="006E306B">
    <w:pPr>
      <w:pStyle w:val="Footer"/>
    </w:pPr>
    <w:r>
      <w:rPr>
        <w:noProof/>
      </w:rPr>
      <mc:AlternateContent>
        <mc:Choice Requires="wps">
          <w:drawing>
            <wp:anchor distT="0" distB="0" distL="0" distR="0" simplePos="0" relativeHeight="251658240" behindDoc="0" locked="0" layoutInCell="1" allowOverlap="1" wp14:anchorId="6D37E723" wp14:editId="255F6FEA">
              <wp:simplePos x="635" y="635"/>
              <wp:positionH relativeFrom="page">
                <wp:align>center</wp:align>
              </wp:positionH>
              <wp:positionV relativeFrom="page">
                <wp:align>bottom</wp:align>
              </wp:positionV>
              <wp:extent cx="5097145" cy="298450"/>
              <wp:effectExtent l="0" t="0" r="8255" b="0"/>
              <wp:wrapNone/>
              <wp:docPr id="1454625164" name="Text Box 1" descr="© 2025 The Hartford. Classification: Company Confidential. No part of this document may be reproduced, published, or used without the permission of The Hartfo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97145" cy="298450"/>
                      </a:xfrm>
                      <a:prstGeom prst="rect">
                        <a:avLst/>
                      </a:prstGeom>
                      <a:noFill/>
                      <a:ln>
                        <a:noFill/>
                      </a:ln>
                    </wps:spPr>
                    <wps:txbx>
                      <w:txbxContent>
                        <w:p w14:paraId="03322831" w14:textId="363C911B" w:rsidR="006E306B" w:rsidRPr="006E306B" w:rsidRDefault="006E306B" w:rsidP="006E306B">
                          <w:pPr>
                            <w:spacing w:after="0"/>
                            <w:rPr>
                              <w:rFonts w:ascii="Calibri" w:eastAsia="Calibri" w:hAnsi="Calibri" w:cs="Calibri"/>
                              <w:noProof/>
                              <w:color w:val="000000"/>
                              <w:sz w:val="12"/>
                              <w:szCs w:val="12"/>
                            </w:rPr>
                          </w:pPr>
                          <w:r w:rsidRPr="006E306B">
                            <w:rPr>
                              <w:rFonts w:ascii="Calibri" w:eastAsia="Calibri" w:hAnsi="Calibri" w:cs="Calibri"/>
                              <w:noProof/>
                              <w:color w:val="000000"/>
                              <w:sz w:val="12"/>
                              <w:szCs w:val="12"/>
                            </w:rPr>
                            <w:t>© 2025 The Hartford. Classification: Company Confidential. No part of this document may be reproduced, published, or used without the permission of The Hartford.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7E723" id="_x0000_t202" coordsize="21600,21600" o:spt="202" path="m,l,21600r21600,l21600,xe">
              <v:stroke joinstyle="miter"/>
              <v:path gradientshapeok="t" o:connecttype="rect"/>
            </v:shapetype>
            <v:shape id="Text Box 1" o:spid="_x0000_s1028" type="#_x0000_t202" alt="© 2025 The Hartford. Classification: Company Confidential. No part of this document may be reproduced, published, or used without the permission of The Hartford." style="position:absolute;margin-left:0;margin-top:0;width:401.35pt;height:2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" filled="f" stroked="f">
              <v:fill o:detectmouseclick="t"/>
              <v:textbox style="mso-fit-shape-to-text:t" inset="0,0,0,15pt">
                <w:txbxContent>
                  <w:p w14:paraId="03322831" w14:textId="363C911B" w:rsidR="006E306B" w:rsidRPr="006E306B" w:rsidRDefault="006E306B" w:rsidP="006E306B">
                    <w:pPr>
                      <w:spacing w:after="0"/>
                      <w:rPr>
                        <w:rFonts w:ascii="Calibri" w:eastAsia="Calibri" w:hAnsi="Calibri" w:cs="Calibri"/>
                        <w:noProof/>
                        <w:color w:val="000000"/>
                        <w:sz w:val="12"/>
                        <w:szCs w:val="12"/>
                      </w:rPr>
                    </w:pPr>
                    <w:r w:rsidRPr="006E306B">
                      <w:rPr>
                        <w:rFonts w:ascii="Calibri" w:eastAsia="Calibri" w:hAnsi="Calibri" w:cs="Calibri"/>
                        <w:noProof/>
                        <w:color w:val="000000"/>
                        <w:sz w:val="12"/>
                        <w:szCs w:val="12"/>
                      </w:rPr>
                      <w:t>© 2025 The Hartford. Classification: Company Confidential. No part of this document may be reproduced, published, or used without the permission of The Hartford.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9710" w14:textId="77777777" w:rsidR="00421703" w:rsidRDefault="00421703" w:rsidP="006E306B">
      <w:pPr>
        <w:spacing w:after="0" w:line="240" w:lineRule="auto"/>
      </w:pPr>
      <w:r>
        <w:separator/>
      </w:r>
    </w:p>
  </w:footnote>
  <w:footnote w:type="continuationSeparator" w:id="0">
    <w:p w14:paraId="133903EF" w14:textId="77777777" w:rsidR="00421703" w:rsidRDefault="00421703" w:rsidP="006E30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69"/>
    <w:rsid w:val="0000412F"/>
    <w:rsid w:val="00087070"/>
    <w:rsid w:val="000B6CDF"/>
    <w:rsid w:val="000C4937"/>
    <w:rsid w:val="00183548"/>
    <w:rsid w:val="001B782A"/>
    <w:rsid w:val="002837AE"/>
    <w:rsid w:val="003E1CBB"/>
    <w:rsid w:val="00402769"/>
    <w:rsid w:val="00421703"/>
    <w:rsid w:val="00454F10"/>
    <w:rsid w:val="00496AC7"/>
    <w:rsid w:val="005940E4"/>
    <w:rsid w:val="006E306B"/>
    <w:rsid w:val="00740C04"/>
    <w:rsid w:val="007A0809"/>
    <w:rsid w:val="00862DB1"/>
    <w:rsid w:val="00C21D89"/>
    <w:rsid w:val="00C67B22"/>
    <w:rsid w:val="00C90CF5"/>
    <w:rsid w:val="00EB2B75"/>
    <w:rsid w:val="00EE1B0C"/>
    <w:rsid w:val="00EF4D6D"/>
    <w:rsid w:val="00EF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1594"/>
  <w15:chartTrackingRefBased/>
  <w15:docId w15:val="{98B5C0D1-817E-4BDC-83E7-9CA26D42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69"/>
  </w:style>
  <w:style w:type="paragraph" w:styleId="Heading1">
    <w:name w:val="heading 1"/>
    <w:basedOn w:val="Normal"/>
    <w:next w:val="Normal"/>
    <w:link w:val="Heading1Char"/>
    <w:uiPriority w:val="9"/>
    <w:qFormat/>
    <w:rsid w:val="00402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769"/>
    <w:rPr>
      <w:rFonts w:eastAsiaTheme="majorEastAsia" w:cstheme="majorBidi"/>
      <w:color w:val="272727" w:themeColor="text1" w:themeTint="D8"/>
    </w:rPr>
  </w:style>
  <w:style w:type="paragraph" w:styleId="Title">
    <w:name w:val="Title"/>
    <w:basedOn w:val="Normal"/>
    <w:next w:val="Normal"/>
    <w:link w:val="TitleChar"/>
    <w:uiPriority w:val="10"/>
    <w:qFormat/>
    <w:rsid w:val="00402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769"/>
    <w:pPr>
      <w:spacing w:before="160"/>
      <w:jc w:val="center"/>
    </w:pPr>
    <w:rPr>
      <w:i/>
      <w:iCs/>
      <w:color w:val="404040" w:themeColor="text1" w:themeTint="BF"/>
    </w:rPr>
  </w:style>
  <w:style w:type="character" w:customStyle="1" w:styleId="QuoteChar">
    <w:name w:val="Quote Char"/>
    <w:basedOn w:val="DefaultParagraphFont"/>
    <w:link w:val="Quote"/>
    <w:uiPriority w:val="29"/>
    <w:rsid w:val="00402769"/>
    <w:rPr>
      <w:i/>
      <w:iCs/>
      <w:color w:val="404040" w:themeColor="text1" w:themeTint="BF"/>
    </w:rPr>
  </w:style>
  <w:style w:type="paragraph" w:styleId="ListParagraph">
    <w:name w:val="List Paragraph"/>
    <w:basedOn w:val="Normal"/>
    <w:uiPriority w:val="34"/>
    <w:qFormat/>
    <w:rsid w:val="00402769"/>
    <w:pPr>
      <w:ind w:left="720"/>
      <w:contextualSpacing/>
    </w:pPr>
  </w:style>
  <w:style w:type="character" w:styleId="IntenseEmphasis">
    <w:name w:val="Intense Emphasis"/>
    <w:basedOn w:val="DefaultParagraphFont"/>
    <w:uiPriority w:val="21"/>
    <w:qFormat/>
    <w:rsid w:val="00402769"/>
    <w:rPr>
      <w:i/>
      <w:iCs/>
      <w:color w:val="0F4761" w:themeColor="accent1" w:themeShade="BF"/>
    </w:rPr>
  </w:style>
  <w:style w:type="paragraph" w:styleId="IntenseQuote">
    <w:name w:val="Intense Quote"/>
    <w:basedOn w:val="Normal"/>
    <w:next w:val="Normal"/>
    <w:link w:val="IntenseQuoteChar"/>
    <w:uiPriority w:val="30"/>
    <w:qFormat/>
    <w:rsid w:val="0040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769"/>
    <w:rPr>
      <w:i/>
      <w:iCs/>
      <w:color w:val="0F4761" w:themeColor="accent1" w:themeShade="BF"/>
    </w:rPr>
  </w:style>
  <w:style w:type="character" w:styleId="IntenseReference">
    <w:name w:val="Intense Reference"/>
    <w:basedOn w:val="DefaultParagraphFont"/>
    <w:uiPriority w:val="32"/>
    <w:qFormat/>
    <w:rsid w:val="00402769"/>
    <w:rPr>
      <w:b/>
      <w:bCs/>
      <w:smallCaps/>
      <w:color w:val="0F4761" w:themeColor="accent1" w:themeShade="BF"/>
      <w:spacing w:val="5"/>
    </w:rPr>
  </w:style>
  <w:style w:type="character" w:styleId="Hyperlink">
    <w:name w:val="Hyperlink"/>
    <w:basedOn w:val="DefaultParagraphFont"/>
    <w:unhideWhenUsed/>
    <w:rsid w:val="00402769"/>
    <w:rPr>
      <w:color w:val="467886" w:themeColor="hyperlink"/>
      <w:u w:val="single"/>
    </w:rPr>
  </w:style>
  <w:style w:type="paragraph" w:styleId="Footer">
    <w:name w:val="footer"/>
    <w:basedOn w:val="Normal"/>
    <w:link w:val="FooterChar"/>
    <w:uiPriority w:val="99"/>
    <w:unhideWhenUsed/>
    <w:rsid w:val="00402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769"/>
  </w:style>
  <w:style w:type="paragraph" w:styleId="NormalWeb">
    <w:name w:val="Normal (Web)"/>
    <w:basedOn w:val="Normal"/>
    <w:uiPriority w:val="99"/>
    <w:semiHidden/>
    <w:unhideWhenUsed/>
    <w:rsid w:val="00740C04"/>
    <w:rPr>
      <w:rFonts w:ascii="Times New Roman" w:hAnsi="Times New Roman" w:cs="Times New Roman"/>
    </w:rPr>
  </w:style>
  <w:style w:type="character" w:styleId="UnresolvedMention">
    <w:name w:val="Unresolved Mention"/>
    <w:basedOn w:val="DefaultParagraphFont"/>
    <w:uiPriority w:val="99"/>
    <w:semiHidden/>
    <w:unhideWhenUsed/>
    <w:rsid w:val="00740C04"/>
    <w:rPr>
      <w:color w:val="605E5C"/>
      <w:shd w:val="clear" w:color="auto" w:fill="E1DFDD"/>
    </w:rPr>
  </w:style>
  <w:style w:type="paragraph" w:styleId="Revision">
    <w:name w:val="Revision"/>
    <w:hidden/>
    <w:uiPriority w:val="99"/>
    <w:semiHidden/>
    <w:rsid w:val="00C21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s%3A%2F%2Fwww.thehartford.com%2F&amp;esheet=54302703&amp;newsitemid=20250805246106&amp;lan=en-US&amp;anchor=https%3A%2F%2Fwww.thehartford.com&amp;index=4&amp;md5=9a9d84eed39c1393641e36791876d6e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r.thehartford.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ate.jorens@thehartford.com"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ir.thehartford.com/" TargetMode="External"/><Relationship Id="rId5" Type="http://schemas.openxmlformats.org/officeDocument/2006/relationships/endnotes" Target="endnotes.xml"/><Relationship Id="rId15" Type="http://schemas.openxmlformats.org/officeDocument/2006/relationships/hyperlink" Target="mailto:matthew.sturdevant@thehartford.com" TargetMode="External"/><Relationship Id="rId10" Type="http://schemas.openxmlformats.org/officeDocument/2006/relationships/hyperlink" Target="https://ir.thehartford.com/" TargetMode="External"/><Relationship Id="rId4" Type="http://schemas.openxmlformats.org/officeDocument/2006/relationships/footnotes" Target="footnotes.xml"/><Relationship Id="rId9" Type="http://schemas.openxmlformats.org/officeDocument/2006/relationships/hyperlink" Target="https://cts.businesswire.com/ct/CT?id=smartlink&amp;url=https%3A%2F%2Fwww.thehartford.com%2Flegal-notice&amp;esheet=54302703&amp;newsitemid=20250805246106&amp;lan=en-US&amp;anchor=The+Hartford%26%238217%3Bs+legal+notice&amp;index=5&amp;md5=c3ac68d9660bbca836b8ab545025e318"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2134</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Ryan J (Communication)</dc:creator>
  <cp:keywords/>
  <dc:description/>
  <cp:lastModifiedBy>Murphy, Ryan J (Communication)</cp:lastModifiedBy>
  <cp:revision>3</cp:revision>
  <dcterms:created xsi:type="dcterms:W3CDTF">2025-12-17T20:16:00Z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56b3d18c,7a9dbf51,553e827b</vt:lpwstr>
  </property>
  <property fmtid="{D5CDD505-2E9C-101B-9397-08002B2CF9AE}" pid="3" name="ClassificationContentMarkingFooterFontProps">
    <vt:lpwstr>#000000,6,Calibri</vt:lpwstr>
  </property>
  <property fmtid="{D5CDD505-2E9C-101B-9397-08002B2CF9AE}" pid="4" name="ClassificationContentMarkingFooterText">
    <vt:lpwstr>© 2025 The Hartford. Classification: Company Confidential. No part of this document may be reproduced, published, or used without the permission of The Hartford.</vt:lpwstr>
  </property>
  <property fmtid="{D5CDD505-2E9C-101B-9397-08002B2CF9AE}" pid="5" name="MSIP_Label_e12ec1e4-f08d-4db9-9ea3-a141370d52a9_Enabled">
    <vt:lpwstr>true</vt:lpwstr>
  </property>
  <property fmtid="{D5CDD505-2E9C-101B-9397-08002B2CF9AE}" pid="6" name="MSIP_Label_e12ec1e4-f08d-4db9-9ea3-a141370d52a9_SetDate">
    <vt:lpwstr>2025-12-03T18:39:51Z</vt:lpwstr>
  </property>
  <property fmtid="{D5CDD505-2E9C-101B-9397-08002B2CF9AE}" pid="7" name="MSIP_Label_e12ec1e4-f08d-4db9-9ea3-a141370d52a9_Method">
    <vt:lpwstr>Privileged</vt:lpwstr>
  </property>
  <property fmtid="{D5CDD505-2E9C-101B-9397-08002B2CF9AE}" pid="8" name="MSIP_Label_e12ec1e4-f08d-4db9-9ea3-a141370d52a9_Name">
    <vt:lpwstr>CC - Show Footer</vt:lpwstr>
  </property>
  <property fmtid="{D5CDD505-2E9C-101B-9397-08002B2CF9AE}" pid="9" name="MSIP_Label_e12ec1e4-f08d-4db9-9ea3-a141370d52a9_SiteId">
    <vt:lpwstr>a311fc62-83f4-45f0-9502-1bb2247d4c8d</vt:lpwstr>
  </property>
  <property fmtid="{D5CDD505-2E9C-101B-9397-08002B2CF9AE}" pid="10" name="MSIP_Label_e12ec1e4-f08d-4db9-9ea3-a141370d52a9_ActionId">
    <vt:lpwstr>c3643923-e718-45e7-a5e8-aaf1d0d48e6a</vt:lpwstr>
  </property>
  <property fmtid="{D5CDD505-2E9C-101B-9397-08002B2CF9AE}" pid="11" name="MSIP_Label_e12ec1e4-f08d-4db9-9ea3-a141370d52a9_ContentBits">
    <vt:lpwstr>2</vt:lpwstr>
  </property>
  <property fmtid="{D5CDD505-2E9C-101B-9397-08002B2CF9AE}" pid="12" name="MSIP_Label_e12ec1e4-f08d-4db9-9ea3-a141370d52a9_Tag">
    <vt:lpwstr>10, 0, 1, 1</vt:lpwstr>
  </property>
</Properties>
</file>